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highlight w:val="none"/>
          <w:lang w:eastAsia="zh-CN"/>
        </w:rPr>
      </w:pPr>
      <w:bookmarkStart w:id="0" w:name="bookmark2"/>
      <w:bookmarkStart w:id="1" w:name="bookmark0"/>
      <w:bookmarkStart w:id="2" w:name="bookmark1"/>
      <w:r>
        <w:rPr>
          <w:rFonts w:hint="eastAsia"/>
          <w:highlight w:val="none"/>
          <w:lang w:eastAsia="zh-CN"/>
        </w:rPr>
        <w:drawing>
          <wp:inline distT="0" distB="0" distL="114300" distR="114300">
            <wp:extent cx="2378710" cy="503555"/>
            <wp:effectExtent l="0" t="0" r="13970" b="0"/>
            <wp:docPr id="2" name="图片 1" descr="10bfa8d60371d3c3514f74353bfc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0bfa8d60371d3c3514f74353bfc099"/>
                    <pic:cNvPicPr>
                      <a:picLocks noChangeAspect="1"/>
                    </pic:cNvPicPr>
                  </pic:nvPicPr>
                  <pic:blipFill>
                    <a:blip r:embed="rId10"/>
                    <a:stretch>
                      <a:fillRect/>
                    </a:stretch>
                  </pic:blipFill>
                  <pic:spPr>
                    <a:xfrm>
                      <a:off x="0" y="0"/>
                      <a:ext cx="2378710" cy="503555"/>
                    </a:xfrm>
                    <a:prstGeom prst="rect">
                      <a:avLst/>
                    </a:prstGeom>
                    <a:noFill/>
                    <a:ln>
                      <a:noFill/>
                    </a:ln>
                  </pic:spPr>
                </pic:pic>
              </a:graphicData>
            </a:graphic>
          </wp:inline>
        </w:drawing>
      </w:r>
    </w:p>
    <w:bookmarkEnd w:id="0"/>
    <w:p>
      <w:pPr>
        <w:pStyle w:val="3"/>
        <w:bidi w:val="0"/>
        <w:jc w:val="center"/>
        <w:outlineLvl w:val="9"/>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bidi w:val="0"/>
        <w:jc w:val="center"/>
        <w:rPr>
          <w:rFonts w:hint="eastAsia" w:ascii="宋体" w:hAnsi="宋体" w:eastAsia="宋体" w:cs="宋体"/>
          <w:b/>
          <w:bCs/>
          <w:sz w:val="72"/>
          <w:szCs w:val="72"/>
          <w:lang w:eastAsia="zh-CN"/>
        </w:rPr>
      </w:pPr>
      <w:r>
        <w:rPr>
          <w:rFonts w:hint="eastAsia" w:ascii="宋体" w:hAnsi="宋体" w:eastAsia="宋体" w:cs="宋体"/>
          <w:b/>
          <w:bCs/>
          <w:sz w:val="72"/>
          <w:szCs w:val="72"/>
          <w:lang w:val="en-US" w:eastAsia="zh-CN"/>
        </w:rPr>
        <w:t>鞍钢集团财务有限责任公司</w:t>
      </w:r>
    </w:p>
    <w:p>
      <w:pPr>
        <w:bidi w:val="0"/>
        <w:jc w:val="center"/>
        <w:rPr>
          <w:rFonts w:hint="eastAsia" w:ascii="宋体" w:hAnsi="宋体" w:eastAsia="宋体" w:cs="宋体"/>
          <w:b/>
          <w:bCs/>
          <w:sz w:val="72"/>
          <w:szCs w:val="72"/>
        </w:rPr>
      </w:pPr>
      <w:bookmarkStart w:id="3" w:name="bookmark3"/>
      <w:r>
        <w:rPr>
          <w:rFonts w:hint="eastAsia" w:ascii="宋体" w:hAnsi="宋体" w:eastAsia="宋体" w:cs="宋体"/>
          <w:b/>
          <w:bCs/>
          <w:sz w:val="72"/>
          <w:szCs w:val="72"/>
        </w:rPr>
        <w:t>2022年度信息披露报告</w:t>
      </w:r>
      <w:bookmarkEnd w:id="1"/>
      <w:bookmarkEnd w:id="2"/>
      <w:bookmarkEnd w:id="3"/>
    </w:p>
    <w:p>
      <w:pPr>
        <w:bidi w:val="0"/>
        <w:rPr>
          <w:rFonts w:hint="eastAsia" w:ascii="宋体" w:hAnsi="宋体" w:eastAsia="宋体" w:cs="宋体"/>
          <w:sz w:val="44"/>
          <w:szCs w:val="44"/>
          <w:lang w:val="zh-TW" w:eastAsia="zh-TW"/>
        </w:rPr>
      </w:pPr>
      <w:bookmarkStart w:id="4" w:name="bookmark4"/>
      <w:bookmarkStart w:id="5" w:name="bookmark5"/>
      <w:bookmarkStart w:id="6" w:name="bookmark6"/>
    </w:p>
    <w:p>
      <w:pPr>
        <w:bidi w:val="0"/>
        <w:rPr>
          <w:rFonts w:hint="eastAsia" w:ascii="宋体" w:hAnsi="宋体" w:eastAsia="宋体" w:cs="宋体"/>
          <w:sz w:val="44"/>
          <w:szCs w:val="44"/>
          <w:lang w:val="zh-TW" w:eastAsia="zh-TW"/>
        </w:rPr>
      </w:pPr>
    </w:p>
    <w:p>
      <w:pPr>
        <w:bidi w:val="0"/>
        <w:rPr>
          <w:rFonts w:hint="eastAsia" w:ascii="宋体" w:hAnsi="宋体" w:eastAsia="宋体" w:cs="宋体"/>
          <w:sz w:val="44"/>
          <w:szCs w:val="44"/>
          <w:lang w:val="zh-TW" w:eastAsia="zh-TW"/>
        </w:rPr>
      </w:pPr>
    </w:p>
    <w:p>
      <w:pPr>
        <w:bidi w:val="0"/>
        <w:rPr>
          <w:rFonts w:hint="eastAsia" w:ascii="宋体" w:hAnsi="宋体" w:eastAsia="宋体" w:cs="宋体"/>
          <w:sz w:val="44"/>
          <w:szCs w:val="44"/>
          <w:lang w:val="zh-TW" w:eastAsia="zh-TW"/>
        </w:rPr>
      </w:pPr>
    </w:p>
    <w:p>
      <w:pPr>
        <w:bidi w:val="0"/>
        <w:rPr>
          <w:rFonts w:hint="eastAsia" w:ascii="宋体" w:hAnsi="宋体" w:eastAsia="宋体" w:cs="宋体"/>
          <w:sz w:val="44"/>
          <w:szCs w:val="44"/>
          <w:lang w:val="zh-TW" w:eastAsia="zh-TW"/>
        </w:rPr>
      </w:pPr>
    </w:p>
    <w:p>
      <w:pPr>
        <w:bidi w:val="0"/>
        <w:rPr>
          <w:rFonts w:hint="eastAsia" w:ascii="宋体" w:hAnsi="宋体" w:eastAsia="宋体" w:cs="宋体"/>
          <w:sz w:val="44"/>
          <w:szCs w:val="44"/>
          <w:lang w:val="zh-TW" w:eastAsia="zh-TW"/>
        </w:rPr>
      </w:pPr>
    </w:p>
    <w:p>
      <w:pPr>
        <w:bidi w:val="0"/>
        <w:rPr>
          <w:rFonts w:hint="eastAsia" w:ascii="宋体" w:hAnsi="宋体" w:eastAsia="宋体" w:cs="宋体"/>
          <w:sz w:val="44"/>
          <w:szCs w:val="44"/>
          <w:lang w:val="zh-TW" w:eastAsia="zh-TW"/>
        </w:rPr>
      </w:pPr>
    </w:p>
    <w:p>
      <w:pPr>
        <w:bidi w:val="0"/>
        <w:rPr>
          <w:rFonts w:hint="eastAsia" w:ascii="宋体" w:hAnsi="宋体" w:eastAsia="宋体" w:cs="宋体"/>
          <w:sz w:val="44"/>
          <w:szCs w:val="44"/>
          <w:lang w:val="zh-TW" w:eastAsia="zh-TW"/>
        </w:rPr>
      </w:pPr>
    </w:p>
    <w:p>
      <w:pPr>
        <w:bidi w:val="0"/>
        <w:rPr>
          <w:rFonts w:hint="eastAsia" w:ascii="宋体" w:hAnsi="宋体" w:eastAsia="宋体" w:cs="宋体"/>
          <w:sz w:val="44"/>
          <w:szCs w:val="44"/>
          <w:lang w:val="zh-TW" w:eastAsia="zh-TW"/>
        </w:rPr>
      </w:pPr>
    </w:p>
    <w:p>
      <w:pPr>
        <w:bidi w:val="0"/>
        <w:ind w:firstLine="3092" w:firstLineChars="700"/>
        <w:rPr>
          <w:rFonts w:hint="eastAsia" w:ascii="宋体" w:hAnsi="宋体" w:eastAsia="宋体" w:cs="宋体"/>
          <w:b/>
          <w:bCs/>
          <w:sz w:val="44"/>
          <w:szCs w:val="44"/>
          <w:lang w:val="en-US" w:eastAsia="zh-CN"/>
        </w:rPr>
      </w:pPr>
      <w:r>
        <w:rPr>
          <w:rFonts w:hint="eastAsia" w:ascii="宋体" w:hAnsi="宋体" w:eastAsia="宋体" w:cs="宋体"/>
          <w:b/>
          <w:bCs/>
          <w:sz w:val="44"/>
          <w:szCs w:val="44"/>
          <w:lang w:val="zh-TW" w:eastAsia="zh-TW"/>
        </w:rPr>
        <w:t>二</w:t>
      </w:r>
      <w:r>
        <w:rPr>
          <w:rFonts w:hint="eastAsia" w:ascii="宋体" w:hAnsi="宋体" w:eastAsia="宋体" w:cs="宋体"/>
          <w:b/>
          <w:bCs/>
          <w:sz w:val="44"/>
          <w:szCs w:val="44"/>
          <w:lang w:val="en-US" w:eastAsia="zh-CN"/>
        </w:rPr>
        <w:t>〇</w:t>
      </w:r>
      <w:r>
        <w:rPr>
          <w:rFonts w:hint="eastAsia" w:ascii="宋体" w:hAnsi="宋体" w:eastAsia="宋体" w:cs="宋体"/>
          <w:b/>
          <w:bCs/>
          <w:sz w:val="44"/>
          <w:szCs w:val="44"/>
          <w:lang w:val="zh-TW" w:eastAsia="zh-TW"/>
        </w:rPr>
        <w:t>二三年</w:t>
      </w:r>
      <w:bookmarkEnd w:id="4"/>
      <w:bookmarkEnd w:id="5"/>
      <w:bookmarkEnd w:id="6"/>
      <w:r>
        <w:rPr>
          <w:rFonts w:hint="eastAsia" w:ascii="宋体" w:hAnsi="宋体" w:eastAsia="宋体" w:cs="宋体"/>
          <w:b/>
          <w:bCs/>
          <w:sz w:val="44"/>
          <w:szCs w:val="44"/>
          <w:lang w:val="en-US" w:eastAsia="zh-CN"/>
        </w:rPr>
        <w:t>七月</w:t>
      </w:r>
      <w:bookmarkStart w:id="7" w:name="bookmark7"/>
      <w:bookmarkStart w:id="8" w:name="bookmark9"/>
      <w:bookmarkStart w:id="9" w:name="bookmark8"/>
    </w:p>
    <w:p>
      <w:pPr>
        <w:pStyle w:val="4"/>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textAlignment w:val="auto"/>
        <w:outlineLvl w:val="0"/>
        <w:rPr>
          <w:rFonts w:hint="eastAsia"/>
          <w:highlight w:val="none"/>
        </w:rPr>
      </w:pPr>
      <w:bookmarkStart w:id="10" w:name="_Toc31101"/>
      <w:r>
        <w:rPr>
          <w:rFonts w:hint="eastAsia"/>
          <w:highlight w:val="none"/>
          <w:lang w:val="en-US" w:eastAsia="zh-CN"/>
        </w:rPr>
        <w:t>一</w:t>
      </w:r>
      <w:r>
        <w:rPr>
          <w:rFonts w:hint="eastAsia"/>
          <w:highlight w:val="none"/>
          <w:lang w:val="zh-CN" w:eastAsia="zh-CN"/>
        </w:rPr>
        <w:t>、</w:t>
      </w:r>
      <w:r>
        <w:rPr>
          <w:rFonts w:hint="eastAsia"/>
          <w:highlight w:val="none"/>
        </w:rPr>
        <w:t>公司基本信息</w:t>
      </w:r>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rPr>
        <w:t>法定名称：</w:t>
      </w:r>
      <w:r>
        <w:rPr>
          <w:rFonts w:hint="eastAsia" w:ascii="仿宋_GB2312" w:hAnsi="仿宋_GB2312" w:eastAsia="仿宋_GB2312" w:cs="仿宋_GB2312"/>
          <w:sz w:val="32"/>
          <w:szCs w:val="32"/>
          <w:highlight w:val="none"/>
          <w:lang w:val="en-US" w:eastAsia="zh-CN"/>
        </w:rPr>
        <w:t>鞍钢集团财务有限责任公司</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注册资本：</w:t>
      </w:r>
      <w:r>
        <w:rPr>
          <w:rFonts w:hint="eastAsia" w:ascii="仿宋_GB2312" w:hAnsi="仿宋_GB2312" w:eastAsia="仿宋_GB2312" w:cs="仿宋_GB2312"/>
          <w:b w:val="0"/>
          <w:bCs w:val="0"/>
          <w:sz w:val="32"/>
          <w:szCs w:val="32"/>
          <w:highlight w:val="none"/>
          <w:lang w:val="en-US" w:eastAsia="zh-CN"/>
        </w:rPr>
        <w:t>50</w:t>
      </w:r>
      <w:r>
        <w:rPr>
          <w:rFonts w:hint="eastAsia" w:ascii="仿宋_GB2312" w:hAnsi="仿宋_GB2312" w:eastAsia="仿宋_GB2312" w:cs="仿宋_GB2312"/>
          <w:sz w:val="32"/>
          <w:szCs w:val="32"/>
          <w:highlight w:val="none"/>
        </w:rPr>
        <w:t>亿元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注册地址：</w:t>
      </w:r>
      <w:r>
        <w:rPr>
          <w:rFonts w:hint="eastAsia" w:ascii="仿宋_GB2312" w:hAnsi="仿宋_GB2312" w:eastAsia="仿宋_GB2312" w:cs="仿宋_GB2312"/>
          <w:b w:val="0"/>
          <w:bCs w:val="0"/>
          <w:sz w:val="32"/>
          <w:szCs w:val="32"/>
          <w:highlight w:val="none"/>
          <w:lang w:val="en-US" w:eastAsia="zh-CN"/>
        </w:rPr>
        <w:t>辽宁</w:t>
      </w:r>
      <w:r>
        <w:rPr>
          <w:rFonts w:hint="eastAsia" w:ascii="仿宋_GB2312" w:hAnsi="仿宋_GB2312" w:eastAsia="仿宋_GB2312" w:cs="仿宋_GB2312"/>
          <w:sz w:val="32"/>
          <w:szCs w:val="32"/>
          <w:highlight w:val="none"/>
        </w:rPr>
        <w:t>省</w:t>
      </w:r>
      <w:r>
        <w:rPr>
          <w:rFonts w:hint="eastAsia" w:ascii="仿宋_GB2312" w:hAnsi="仿宋_GB2312" w:eastAsia="仿宋_GB2312" w:cs="仿宋_GB2312"/>
          <w:sz w:val="32"/>
          <w:szCs w:val="32"/>
          <w:highlight w:val="none"/>
          <w:lang w:val="en-US" w:eastAsia="zh-CN"/>
        </w:rPr>
        <w:t>鞍山市铁东区胜利路31号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成立时间：</w:t>
      </w:r>
      <w:r>
        <w:rPr>
          <w:rFonts w:hint="eastAsia" w:ascii="仿宋_GB2312" w:hAnsi="仿宋_GB2312" w:eastAsia="仿宋_GB2312" w:cs="仿宋_GB2312"/>
          <w:sz w:val="32"/>
          <w:szCs w:val="32"/>
          <w:highlight w:val="none"/>
        </w:rPr>
        <w:t>199</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月2日</w:t>
      </w:r>
    </w:p>
    <w:p>
      <w:pPr>
        <w:keepNext w:val="0"/>
        <w:keepLines w:val="0"/>
        <w:pageBreakBefore w:val="0"/>
        <w:widowControl w:val="0"/>
        <w:kinsoku/>
        <w:wordWrap/>
        <w:overflowPunct/>
        <w:topLinePunct w:val="0"/>
        <w:bidi w:val="0"/>
        <w:adjustRightInd w:val="0"/>
        <w:snapToGrid w:val="0"/>
        <w:spacing w:line="560" w:lineRule="exact"/>
        <w:ind w:left="2244" w:leftChars="266" w:hanging="1606" w:hangingChars="5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经营范围：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对成员单位办理财务和融资顾问、信用鉴证及相关的咨询、代理业务；</w:t>
      </w:r>
    </w:p>
    <w:p>
      <w:pPr>
        <w:keepNext w:val="0"/>
        <w:keepLines w:val="0"/>
        <w:pageBreakBefore w:val="0"/>
        <w:widowControl w:val="0"/>
        <w:kinsoku/>
        <w:wordWrap/>
        <w:overflowPunct/>
        <w:topLinePunct w:val="0"/>
        <w:autoSpaceDE/>
        <w:autoSpaceDN/>
        <w:bidi w:val="0"/>
        <w:adjustRightInd w:val="0"/>
        <w:snapToGrid w:val="0"/>
        <w:spacing w:line="540" w:lineRule="exact"/>
        <w:ind w:firstLine="2240" w:firstLineChars="7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协助成员单位实现交易款项的收付；</w:t>
      </w:r>
    </w:p>
    <w:p>
      <w:pPr>
        <w:keepNext w:val="0"/>
        <w:keepLines w:val="0"/>
        <w:pageBreakBefore w:val="0"/>
        <w:widowControl w:val="0"/>
        <w:kinsoku/>
        <w:wordWrap/>
        <w:overflowPunct/>
        <w:topLinePunct w:val="0"/>
        <w:autoSpaceDE/>
        <w:autoSpaceDN/>
        <w:bidi w:val="0"/>
        <w:adjustRightInd w:val="0"/>
        <w:snapToGrid w:val="0"/>
        <w:spacing w:line="540" w:lineRule="exact"/>
        <w:ind w:firstLine="2240" w:firstLineChars="7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经批准的保险代理业务；</w:t>
      </w:r>
    </w:p>
    <w:p>
      <w:pPr>
        <w:keepNext w:val="0"/>
        <w:keepLines w:val="0"/>
        <w:pageBreakBefore w:val="0"/>
        <w:widowControl w:val="0"/>
        <w:kinsoku/>
        <w:wordWrap/>
        <w:overflowPunct/>
        <w:topLinePunct w:val="0"/>
        <w:autoSpaceDE/>
        <w:autoSpaceDN/>
        <w:bidi w:val="0"/>
        <w:adjustRightInd w:val="0"/>
        <w:snapToGrid w:val="0"/>
        <w:spacing w:line="540" w:lineRule="exact"/>
        <w:ind w:firstLine="2240" w:firstLineChars="7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对成员单位提供担保；</w:t>
      </w:r>
    </w:p>
    <w:p>
      <w:pPr>
        <w:keepNext w:val="0"/>
        <w:keepLines w:val="0"/>
        <w:pageBreakBefore w:val="0"/>
        <w:widowControl w:val="0"/>
        <w:kinsoku/>
        <w:wordWrap/>
        <w:overflowPunct/>
        <w:topLinePunct w:val="0"/>
        <w:autoSpaceDE/>
        <w:autoSpaceDN/>
        <w:bidi w:val="0"/>
        <w:adjustRightInd w:val="0"/>
        <w:snapToGrid w:val="0"/>
        <w:spacing w:line="540" w:lineRule="exact"/>
        <w:ind w:firstLine="2240" w:firstLineChars="7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办理成员单位之间的委托贷款及委托投资</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2240" w:firstLineChars="7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对成员单位办理票据承兑与贴现；</w:t>
      </w:r>
    </w:p>
    <w:p>
      <w:pPr>
        <w:keepNext w:val="0"/>
        <w:keepLines w:val="0"/>
        <w:pageBreakBefore w:val="0"/>
        <w:widowControl w:val="0"/>
        <w:kinsoku/>
        <w:wordWrap/>
        <w:overflowPunct/>
        <w:topLinePunct w:val="0"/>
        <w:autoSpaceDE/>
        <w:autoSpaceDN/>
        <w:bidi w:val="0"/>
        <w:adjustRightInd w:val="0"/>
        <w:snapToGrid w:val="0"/>
        <w:spacing w:line="540" w:lineRule="exact"/>
        <w:ind w:left="2234" w:leftChars="931" w:firstLine="0" w:firstLineChars="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办理成员单位之间的内部转账结算及相应的结算、清算方案设计</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2240" w:firstLineChars="7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吸收成员单位的存款；</w:t>
      </w:r>
    </w:p>
    <w:p>
      <w:pPr>
        <w:keepNext w:val="0"/>
        <w:keepLines w:val="0"/>
        <w:pageBreakBefore w:val="0"/>
        <w:widowControl w:val="0"/>
        <w:kinsoku/>
        <w:wordWrap/>
        <w:overflowPunct/>
        <w:topLinePunct w:val="0"/>
        <w:autoSpaceDE/>
        <w:autoSpaceDN/>
        <w:bidi w:val="0"/>
        <w:adjustRightInd w:val="0"/>
        <w:snapToGrid w:val="0"/>
        <w:spacing w:line="540" w:lineRule="exact"/>
        <w:ind w:firstLine="2240" w:firstLineChars="7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对成员单位办理贷款及融资租赁；</w:t>
      </w:r>
    </w:p>
    <w:p>
      <w:pPr>
        <w:keepNext w:val="0"/>
        <w:keepLines w:val="0"/>
        <w:pageBreakBefore w:val="0"/>
        <w:widowControl w:val="0"/>
        <w:kinsoku/>
        <w:wordWrap/>
        <w:overflowPunct/>
        <w:topLinePunct w:val="0"/>
        <w:autoSpaceDE/>
        <w:autoSpaceDN/>
        <w:bidi w:val="0"/>
        <w:adjustRightInd w:val="0"/>
        <w:snapToGrid w:val="0"/>
        <w:spacing w:line="540" w:lineRule="exact"/>
        <w:ind w:firstLine="2240" w:firstLineChars="7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从事同业拆借；</w:t>
      </w:r>
    </w:p>
    <w:p>
      <w:pPr>
        <w:keepNext w:val="0"/>
        <w:keepLines w:val="0"/>
        <w:pageBreakBefore w:val="0"/>
        <w:widowControl w:val="0"/>
        <w:kinsoku/>
        <w:wordWrap/>
        <w:overflowPunct/>
        <w:topLinePunct w:val="0"/>
        <w:autoSpaceDE/>
        <w:autoSpaceDN/>
        <w:bidi w:val="0"/>
        <w:adjustRightInd w:val="0"/>
        <w:snapToGrid w:val="0"/>
        <w:spacing w:line="540" w:lineRule="exact"/>
        <w:ind w:firstLine="2240" w:firstLineChars="7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十一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经批准发行财务公司债券；</w:t>
      </w:r>
    </w:p>
    <w:p>
      <w:pPr>
        <w:keepNext w:val="0"/>
        <w:keepLines w:val="0"/>
        <w:pageBreakBefore w:val="0"/>
        <w:widowControl w:val="0"/>
        <w:kinsoku/>
        <w:wordWrap/>
        <w:overflowPunct/>
        <w:topLinePunct w:val="0"/>
        <w:autoSpaceDE/>
        <w:autoSpaceDN/>
        <w:bidi w:val="0"/>
        <w:adjustRightInd w:val="0"/>
        <w:snapToGrid w:val="0"/>
        <w:spacing w:line="540" w:lineRule="exact"/>
        <w:ind w:firstLine="2240" w:firstLineChars="7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十二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承销成员单位的企业债券；</w:t>
      </w:r>
    </w:p>
    <w:p>
      <w:pPr>
        <w:keepNext w:val="0"/>
        <w:keepLines w:val="0"/>
        <w:pageBreakBefore w:val="0"/>
        <w:widowControl w:val="0"/>
        <w:kinsoku/>
        <w:wordWrap/>
        <w:overflowPunct/>
        <w:topLinePunct w:val="0"/>
        <w:autoSpaceDE/>
        <w:autoSpaceDN/>
        <w:bidi w:val="0"/>
        <w:adjustRightInd w:val="0"/>
        <w:snapToGrid w:val="0"/>
        <w:spacing w:line="540" w:lineRule="exact"/>
        <w:ind w:firstLine="2240" w:firstLineChars="7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十三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对金融机构股权投资；</w:t>
      </w:r>
    </w:p>
    <w:p>
      <w:pPr>
        <w:keepNext w:val="0"/>
        <w:keepLines w:val="0"/>
        <w:pageBreakBefore w:val="0"/>
        <w:widowControl w:val="0"/>
        <w:kinsoku/>
        <w:wordWrap/>
        <w:overflowPunct/>
        <w:topLinePunct w:val="0"/>
        <w:autoSpaceDE/>
        <w:autoSpaceDN/>
        <w:bidi w:val="0"/>
        <w:adjustRightInd w:val="0"/>
        <w:snapToGrid w:val="0"/>
        <w:spacing w:line="540" w:lineRule="exact"/>
        <w:ind w:left="2234" w:leftChars="931" w:firstLine="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十四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有价证券投资，投资范围限于银行间市场国债、央行票据、金融债、短期融资券、企业债，货币市场基金，新股申购；</w:t>
      </w:r>
    </w:p>
    <w:p>
      <w:pPr>
        <w:keepNext w:val="0"/>
        <w:keepLines w:val="0"/>
        <w:pageBreakBefore w:val="0"/>
        <w:widowControl w:val="0"/>
        <w:kinsoku/>
        <w:wordWrap/>
        <w:overflowPunct/>
        <w:topLinePunct w:val="0"/>
        <w:autoSpaceDE/>
        <w:autoSpaceDN/>
        <w:bidi w:val="0"/>
        <w:adjustRightInd w:val="0"/>
        <w:snapToGrid w:val="0"/>
        <w:spacing w:line="540" w:lineRule="exact"/>
        <w:ind w:firstLine="2240" w:firstLineChars="7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十五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监管机构批准的其他业务。</w:t>
      </w:r>
      <w:bookmarkStart w:id="11" w:name="bookmark12"/>
      <w:bookmarkStart w:id="12" w:name="bookmark11"/>
      <w:bookmarkStart w:id="13" w:name="bookmark10"/>
    </w:p>
    <w:p>
      <w:pPr>
        <w:pStyle w:val="4"/>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textAlignment w:val="auto"/>
        <w:outlineLvl w:val="0"/>
        <w:rPr>
          <w:rFonts w:hint="eastAsia" w:eastAsia="黑体"/>
          <w:highlight w:val="none"/>
          <w:lang w:val="en-US" w:eastAsia="zh-CN"/>
        </w:rPr>
      </w:pPr>
      <w:bookmarkStart w:id="14" w:name="_Toc14892"/>
      <w:r>
        <w:rPr>
          <w:rFonts w:hint="eastAsia"/>
          <w:highlight w:val="none"/>
        </w:rPr>
        <w:t>二、公司治理</w:t>
      </w:r>
      <w:bookmarkEnd w:id="11"/>
      <w:r>
        <w:rPr>
          <w:rFonts w:hint="eastAsia"/>
          <w:highlight w:val="none"/>
          <w:lang w:val="en-US" w:eastAsia="zh-CN"/>
        </w:rPr>
        <w:t>信息</w:t>
      </w:r>
      <w:bookmarkEnd w:id="14"/>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楷体_GB2312" w:hAnsi="楷体_GB2312" w:eastAsia="楷体_GB2312" w:cs="楷体_GB2312"/>
          <w:b/>
          <w:bCs/>
          <w:sz w:val="32"/>
          <w:szCs w:val="32"/>
          <w:highlight w:val="none"/>
        </w:rPr>
      </w:pPr>
      <w:bookmarkStart w:id="15" w:name="bookmark13"/>
      <w:bookmarkStart w:id="16" w:name="bookmark14"/>
      <w:r>
        <w:rPr>
          <w:rFonts w:hint="eastAsia" w:ascii="楷体_GB2312" w:hAnsi="楷体_GB2312" w:eastAsia="楷体_GB2312" w:cs="楷体_GB2312"/>
          <w:b/>
          <w:bCs/>
          <w:sz w:val="32"/>
          <w:szCs w:val="32"/>
          <w:highlight w:val="none"/>
        </w:rPr>
        <w:t>（</w:t>
      </w:r>
      <w:bookmarkEnd w:id="15"/>
      <w:r>
        <w:rPr>
          <w:rFonts w:hint="eastAsia" w:ascii="楷体_GB2312" w:hAnsi="楷体_GB2312" w:eastAsia="楷体_GB2312" w:cs="楷体_GB2312"/>
          <w:b/>
          <w:bCs/>
          <w:sz w:val="32"/>
          <w:szCs w:val="32"/>
          <w:highlight w:val="none"/>
        </w:rPr>
        <w:t>一）实际控制人及其控制本公司情况的简要说明</w:t>
      </w:r>
      <w:bookmarkEnd w:id="12"/>
      <w:bookmarkEnd w:id="13"/>
      <w:bookmarkEnd w:id="1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鞍钢集团财务有限责任公司（以下简称鞍钢财务公司）</w:t>
      </w:r>
      <w:r>
        <w:rPr>
          <w:rFonts w:hint="eastAsia" w:ascii="仿宋_GB2312" w:hAnsi="仿宋_GB2312" w:eastAsia="仿宋_GB2312" w:cs="仿宋_GB2312"/>
          <w:sz w:val="32"/>
          <w:szCs w:val="32"/>
          <w:highlight w:val="none"/>
        </w:rPr>
        <w:t>实际控制人为</w:t>
      </w:r>
      <w:r>
        <w:rPr>
          <w:rFonts w:hint="eastAsia" w:ascii="仿宋_GB2312" w:hAnsi="仿宋_GB2312" w:eastAsia="仿宋_GB2312" w:cs="仿宋_GB2312"/>
          <w:sz w:val="32"/>
          <w:szCs w:val="32"/>
          <w:highlight w:val="none"/>
          <w:lang w:val="en-US" w:eastAsia="zh-CN"/>
        </w:rPr>
        <w:t>鞍钢集团有限公司</w:t>
      </w:r>
      <w:r>
        <w:rPr>
          <w:rFonts w:hint="eastAsia" w:ascii="仿宋_GB2312" w:hAnsi="仿宋_GB2312" w:eastAsia="仿宋_GB2312" w:cs="仿宋_GB2312"/>
          <w:sz w:val="32"/>
          <w:szCs w:val="32"/>
          <w:highlight w:val="none"/>
        </w:rPr>
        <w:t>，持有</w:t>
      </w:r>
      <w:r>
        <w:rPr>
          <w:rFonts w:hint="eastAsia" w:ascii="仿宋_GB2312" w:hAnsi="仿宋_GB2312" w:eastAsia="仿宋_GB2312" w:cs="仿宋_GB2312"/>
          <w:sz w:val="32"/>
          <w:szCs w:val="32"/>
          <w:highlight w:val="none"/>
          <w:lang w:val="en-US" w:eastAsia="zh-CN"/>
        </w:rPr>
        <w:t>鞍钢财务公司70</w:t>
      </w:r>
      <w:r>
        <w:rPr>
          <w:rFonts w:hint="eastAsia" w:ascii="仿宋_GB2312" w:hAnsi="仿宋_GB2312" w:eastAsia="仿宋_GB2312" w:cs="仿宋_GB2312"/>
          <w:sz w:val="32"/>
          <w:szCs w:val="32"/>
          <w:highlight w:val="none"/>
        </w:rPr>
        <w:t>%的股权。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highlight w:val="none"/>
        </w:rPr>
      </w:pPr>
      <w:bookmarkStart w:id="17" w:name="bookmark15"/>
      <w:r>
        <w:rPr>
          <w:rFonts w:hint="eastAsia" w:ascii="楷体_GB2312" w:hAnsi="楷体_GB2312" w:eastAsia="楷体_GB2312" w:cs="楷体_GB2312"/>
          <w:b/>
          <w:bCs/>
          <w:sz w:val="32"/>
          <w:szCs w:val="32"/>
          <w:highlight w:val="none"/>
        </w:rPr>
        <w:t>（</w:t>
      </w:r>
      <w:bookmarkEnd w:id="17"/>
      <w:r>
        <w:rPr>
          <w:rFonts w:hint="eastAsia" w:ascii="楷体_GB2312" w:hAnsi="楷体_GB2312" w:eastAsia="楷体_GB2312" w:cs="楷体_GB2312"/>
          <w:b/>
          <w:bCs/>
          <w:sz w:val="32"/>
          <w:szCs w:val="32"/>
          <w:highlight w:val="none"/>
        </w:rPr>
        <w:t>二）股东</w:t>
      </w:r>
      <w:r>
        <w:rPr>
          <w:rFonts w:hint="eastAsia" w:ascii="楷体_GB2312" w:hAnsi="楷体_GB2312" w:eastAsia="楷体_GB2312" w:cs="楷体_GB2312"/>
          <w:b/>
          <w:bCs/>
          <w:sz w:val="32"/>
          <w:szCs w:val="32"/>
          <w:highlight w:val="none"/>
          <w:lang w:val="en-US" w:eastAsia="zh-CN"/>
        </w:rPr>
        <w:t>及其持股变化</w:t>
      </w:r>
      <w:r>
        <w:rPr>
          <w:rFonts w:hint="eastAsia" w:ascii="楷体_GB2312" w:hAnsi="楷体_GB2312" w:eastAsia="楷体_GB2312" w:cs="楷体_GB2312"/>
          <w:b/>
          <w:bCs/>
          <w:sz w:val="32"/>
          <w:szCs w:val="32"/>
          <w:highlight w:val="none"/>
        </w:rPr>
        <w:t>情况</w:t>
      </w:r>
    </w:p>
    <w:p>
      <w:pPr>
        <w:keepNext w:val="0"/>
        <w:keepLines w:val="0"/>
        <w:pageBreakBefore w:val="0"/>
        <w:widowControl w:val="0"/>
        <w:tabs>
          <w:tab w:val="left" w:pos="1440"/>
          <w:tab w:val="left" w:pos="180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CN"/>
        </w:rPr>
      </w:pPr>
      <w:bookmarkStart w:id="18" w:name="bookmark18"/>
      <w:bookmarkStart w:id="19" w:name="bookmark19"/>
      <w:bookmarkStart w:id="20" w:name="bookmark16"/>
      <w:bookmarkStart w:id="21" w:name="bookmark17"/>
      <w:r>
        <w:rPr>
          <w:rFonts w:hint="eastAsia" w:ascii="仿宋_GB2312" w:hAnsi="仿宋_GB2312" w:eastAsia="仿宋_GB2312" w:cs="仿宋_GB2312"/>
          <w:b w:val="0"/>
          <w:bCs/>
          <w:color w:val="auto"/>
          <w:sz w:val="32"/>
          <w:szCs w:val="32"/>
          <w:highlight w:val="none"/>
          <w:lang w:val="en-US" w:eastAsia="zh-CN"/>
        </w:rPr>
        <w:t>鞍钢财务公司有3家股东，分别为鞍钢集团有限公司、鞍钢股份有限公司、攀钢集团钒钛资源股份有限公司，具体出资情况见下表：</w:t>
      </w:r>
    </w:p>
    <w:p>
      <w:pPr>
        <w:tabs>
          <w:tab w:val="left" w:pos="1440"/>
          <w:tab w:val="left" w:pos="1800"/>
        </w:tabs>
        <w:spacing w:line="560" w:lineRule="exact"/>
        <w:ind w:firstLine="6828" w:firstLineChars="3250"/>
        <w:rPr>
          <w:rFonts w:hint="eastAsia" w:ascii="仿宋_GB2312" w:eastAsia="仿宋_GB2312"/>
          <w:color w:val="auto"/>
          <w:sz w:val="21"/>
          <w:szCs w:val="21"/>
          <w:highlight w:val="none"/>
        </w:rPr>
      </w:pPr>
      <w:r>
        <w:rPr>
          <w:b/>
          <w:color w:val="auto"/>
          <w:sz w:val="21"/>
          <w:szCs w:val="21"/>
          <w:highlight w:val="none"/>
        </w:rPr>
        <w:t>单位：元</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5"/>
        <w:gridCol w:w="1933"/>
        <w:gridCol w:w="2071"/>
        <w:gridCol w:w="1036"/>
        <w:gridCol w:w="1742"/>
        <w:gridCol w:w="9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705" w:type="dxa"/>
            <w:vMerge w:val="restart"/>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default" w:ascii="仿宋_GB2312" w:hAnsi="宋体" w:eastAsia="仿宋_GB2312" w:cs="仿宋_GB2312"/>
                <w:b/>
                <w:i w:val="0"/>
                <w:color w:val="auto"/>
                <w:sz w:val="21"/>
                <w:szCs w:val="21"/>
                <w:highlight w:val="none"/>
                <w:u w:val="none"/>
              </w:rPr>
            </w:pPr>
            <w:r>
              <w:rPr>
                <w:rFonts w:hint="eastAsia" w:ascii="仿宋_GB2312" w:hAnsi="宋体" w:eastAsia="仿宋_GB2312" w:cs="仿宋_GB2312"/>
                <w:b/>
                <w:i w:val="0"/>
                <w:color w:val="auto"/>
                <w:kern w:val="0"/>
                <w:sz w:val="21"/>
                <w:szCs w:val="21"/>
                <w:highlight w:val="none"/>
                <w:u w:val="none"/>
                <w:lang w:val="en-US" w:eastAsia="zh-CN" w:bidi="ar"/>
              </w:rPr>
              <w:t>序号</w:t>
            </w:r>
          </w:p>
        </w:tc>
        <w:tc>
          <w:tcPr>
            <w:tcW w:w="1933" w:type="dxa"/>
            <w:vMerge w:val="restart"/>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eastAsia" w:ascii="仿宋_GB2312" w:hAnsi="宋体" w:eastAsia="仿宋_GB2312" w:cs="仿宋_GB2312"/>
                <w:b/>
                <w:i w:val="0"/>
                <w:color w:val="auto"/>
                <w:sz w:val="21"/>
                <w:szCs w:val="21"/>
                <w:highlight w:val="none"/>
                <w:u w:val="none"/>
              </w:rPr>
            </w:pPr>
            <w:r>
              <w:rPr>
                <w:rFonts w:hint="eastAsia" w:ascii="仿宋_GB2312" w:hAnsi="宋体" w:eastAsia="仿宋_GB2312" w:cs="仿宋_GB2312"/>
                <w:b/>
                <w:i w:val="0"/>
                <w:color w:val="auto"/>
                <w:kern w:val="0"/>
                <w:sz w:val="21"/>
                <w:szCs w:val="21"/>
                <w:highlight w:val="none"/>
                <w:u w:val="none"/>
                <w:lang w:val="en-US" w:eastAsia="zh-CN" w:bidi="ar"/>
              </w:rPr>
              <w:t>股东名称</w:t>
            </w:r>
          </w:p>
        </w:tc>
        <w:tc>
          <w:tcPr>
            <w:tcW w:w="2071" w:type="dxa"/>
            <w:vMerge w:val="restart"/>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eastAsia" w:ascii="仿宋_GB2312" w:hAnsi="宋体" w:eastAsia="仿宋_GB2312" w:cs="仿宋_GB2312"/>
                <w:b/>
                <w:i w:val="0"/>
                <w:color w:val="auto"/>
                <w:sz w:val="21"/>
                <w:szCs w:val="21"/>
                <w:highlight w:val="none"/>
                <w:u w:val="none"/>
              </w:rPr>
            </w:pPr>
            <w:r>
              <w:rPr>
                <w:rFonts w:hint="eastAsia" w:ascii="仿宋_GB2312" w:hAnsi="宋体" w:eastAsia="仿宋_GB2312" w:cs="仿宋_GB2312"/>
                <w:b/>
                <w:i w:val="0"/>
                <w:color w:val="auto"/>
                <w:kern w:val="0"/>
                <w:sz w:val="21"/>
                <w:szCs w:val="21"/>
                <w:highlight w:val="none"/>
                <w:u w:val="none"/>
                <w:lang w:val="en-US" w:eastAsia="zh-CN" w:bidi="ar"/>
              </w:rPr>
              <w:t>认缴注册资本总额</w:t>
            </w:r>
          </w:p>
        </w:tc>
        <w:tc>
          <w:tcPr>
            <w:tcW w:w="1036" w:type="dxa"/>
            <w:vMerge w:val="restart"/>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eastAsia" w:ascii="仿宋_GB2312" w:hAnsi="宋体" w:eastAsia="仿宋_GB2312" w:cs="仿宋_GB2312"/>
                <w:b/>
                <w:i w:val="0"/>
                <w:color w:val="auto"/>
                <w:sz w:val="21"/>
                <w:szCs w:val="21"/>
                <w:highlight w:val="none"/>
                <w:u w:val="none"/>
              </w:rPr>
            </w:pPr>
            <w:r>
              <w:rPr>
                <w:rFonts w:hint="eastAsia" w:ascii="仿宋_GB2312" w:hAnsi="宋体" w:eastAsia="仿宋_GB2312" w:cs="仿宋_GB2312"/>
                <w:b/>
                <w:i w:val="0"/>
                <w:color w:val="auto"/>
                <w:kern w:val="0"/>
                <w:sz w:val="21"/>
                <w:szCs w:val="21"/>
                <w:highlight w:val="none"/>
                <w:u w:val="none"/>
                <w:lang w:val="en-US" w:eastAsia="zh-CN" w:bidi="ar"/>
              </w:rPr>
              <w:t>出资方式</w:t>
            </w:r>
          </w:p>
        </w:tc>
        <w:tc>
          <w:tcPr>
            <w:tcW w:w="1742" w:type="dxa"/>
            <w:vMerge w:val="restart"/>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eastAsia" w:ascii="仿宋_GB2312" w:hAnsi="宋体" w:eastAsia="仿宋_GB2312" w:cs="仿宋_GB2312"/>
                <w:b/>
                <w:i w:val="0"/>
                <w:color w:val="auto"/>
                <w:sz w:val="21"/>
                <w:szCs w:val="21"/>
                <w:highlight w:val="none"/>
                <w:u w:val="none"/>
              </w:rPr>
            </w:pPr>
            <w:r>
              <w:rPr>
                <w:rFonts w:hint="eastAsia" w:ascii="仿宋_GB2312" w:hAnsi="宋体" w:eastAsia="仿宋_GB2312" w:cs="仿宋_GB2312"/>
                <w:b/>
                <w:i w:val="0"/>
                <w:color w:val="auto"/>
                <w:kern w:val="0"/>
                <w:sz w:val="21"/>
                <w:szCs w:val="21"/>
                <w:highlight w:val="none"/>
                <w:u w:val="none"/>
                <w:lang w:val="en-US" w:eastAsia="zh-CN" w:bidi="ar"/>
              </w:rPr>
              <w:t>出资时间</w:t>
            </w:r>
          </w:p>
        </w:tc>
        <w:tc>
          <w:tcPr>
            <w:tcW w:w="988" w:type="dxa"/>
            <w:vMerge w:val="restart"/>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default" w:ascii="仿宋_GB2312" w:hAnsi="宋体" w:eastAsia="仿宋_GB2312" w:cs="仿宋_GB2312"/>
                <w:b/>
                <w:i w:val="0"/>
                <w:color w:val="auto"/>
                <w:sz w:val="21"/>
                <w:szCs w:val="21"/>
                <w:highlight w:val="none"/>
                <w:u w:val="none"/>
                <w:lang w:val="en-US"/>
              </w:rPr>
            </w:pPr>
            <w:r>
              <w:rPr>
                <w:rFonts w:hint="eastAsia" w:ascii="仿宋_GB2312" w:hAnsi="宋体" w:eastAsia="仿宋_GB2312" w:cs="仿宋_GB2312"/>
                <w:b/>
                <w:i w:val="0"/>
                <w:color w:val="auto"/>
                <w:kern w:val="0"/>
                <w:sz w:val="21"/>
                <w:szCs w:val="21"/>
                <w:highlight w:val="none"/>
                <w:u w:val="none"/>
                <w:lang w:val="en-US" w:eastAsia="zh-CN" w:bidi="ar"/>
              </w:rPr>
              <w:t>出资比例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705" w:type="dxa"/>
            <w:vMerge w:val="continue"/>
            <w:tcBorders>
              <w:tl2br w:val="nil"/>
              <w:tr2bl w:val="nil"/>
            </w:tcBorders>
            <w:noWrap w:val="0"/>
            <w:tcMar>
              <w:top w:w="15" w:type="dxa"/>
              <w:left w:w="15" w:type="dxa"/>
              <w:right w:w="15" w:type="dxa"/>
            </w:tcMar>
            <w:vAlign w:val="center"/>
          </w:tcPr>
          <w:p>
            <w:pPr>
              <w:suppressLineNumbers w:val="0"/>
              <w:spacing w:beforeAutospacing="0" w:afterAutospacing="0"/>
              <w:jc w:val="center"/>
              <w:rPr>
                <w:rFonts w:hint="eastAsia" w:ascii="仿宋_GB2312" w:hAnsi="宋体" w:eastAsia="仿宋_GB2312" w:cs="仿宋_GB2312"/>
                <w:b/>
                <w:i w:val="0"/>
                <w:color w:val="auto"/>
                <w:sz w:val="21"/>
                <w:szCs w:val="21"/>
                <w:highlight w:val="none"/>
                <w:u w:val="none"/>
              </w:rPr>
            </w:pPr>
          </w:p>
        </w:tc>
        <w:tc>
          <w:tcPr>
            <w:tcW w:w="1933" w:type="dxa"/>
            <w:vMerge w:val="continue"/>
            <w:tcBorders>
              <w:tl2br w:val="nil"/>
              <w:tr2bl w:val="nil"/>
            </w:tcBorders>
            <w:noWrap w:val="0"/>
            <w:tcMar>
              <w:top w:w="15" w:type="dxa"/>
              <w:left w:w="15" w:type="dxa"/>
              <w:right w:w="15" w:type="dxa"/>
            </w:tcMar>
            <w:vAlign w:val="center"/>
          </w:tcPr>
          <w:p>
            <w:pPr>
              <w:suppressLineNumbers w:val="0"/>
              <w:spacing w:beforeAutospacing="0" w:afterAutospacing="0"/>
              <w:jc w:val="center"/>
              <w:rPr>
                <w:rFonts w:hint="eastAsia" w:ascii="仿宋_GB2312" w:hAnsi="宋体" w:eastAsia="仿宋_GB2312" w:cs="仿宋_GB2312"/>
                <w:b/>
                <w:i w:val="0"/>
                <w:color w:val="auto"/>
                <w:sz w:val="21"/>
                <w:szCs w:val="21"/>
                <w:highlight w:val="none"/>
                <w:u w:val="none"/>
              </w:rPr>
            </w:pPr>
          </w:p>
        </w:tc>
        <w:tc>
          <w:tcPr>
            <w:tcW w:w="2071" w:type="dxa"/>
            <w:vMerge w:val="continue"/>
            <w:tcBorders>
              <w:tl2br w:val="nil"/>
              <w:tr2bl w:val="nil"/>
            </w:tcBorders>
            <w:noWrap w:val="0"/>
            <w:tcMar>
              <w:top w:w="15" w:type="dxa"/>
              <w:left w:w="15" w:type="dxa"/>
              <w:right w:w="15" w:type="dxa"/>
            </w:tcMar>
            <w:vAlign w:val="center"/>
          </w:tcPr>
          <w:p>
            <w:pPr>
              <w:suppressLineNumbers w:val="0"/>
              <w:spacing w:beforeAutospacing="0" w:afterAutospacing="0"/>
              <w:jc w:val="center"/>
              <w:rPr>
                <w:rFonts w:hint="eastAsia" w:ascii="仿宋_GB2312" w:hAnsi="宋体" w:eastAsia="仿宋_GB2312" w:cs="仿宋_GB2312"/>
                <w:b/>
                <w:i w:val="0"/>
                <w:color w:val="auto"/>
                <w:sz w:val="21"/>
                <w:szCs w:val="21"/>
                <w:highlight w:val="none"/>
                <w:u w:val="none"/>
              </w:rPr>
            </w:pPr>
          </w:p>
        </w:tc>
        <w:tc>
          <w:tcPr>
            <w:tcW w:w="1036" w:type="dxa"/>
            <w:vMerge w:val="continue"/>
            <w:tcBorders>
              <w:tl2br w:val="nil"/>
              <w:tr2bl w:val="nil"/>
            </w:tcBorders>
            <w:noWrap w:val="0"/>
            <w:tcMar>
              <w:top w:w="15" w:type="dxa"/>
              <w:left w:w="15" w:type="dxa"/>
              <w:right w:w="15" w:type="dxa"/>
            </w:tcMar>
            <w:vAlign w:val="center"/>
          </w:tcPr>
          <w:p>
            <w:pPr>
              <w:suppressLineNumbers w:val="0"/>
              <w:spacing w:beforeAutospacing="0" w:afterAutospacing="0"/>
              <w:jc w:val="center"/>
              <w:rPr>
                <w:rFonts w:hint="eastAsia" w:ascii="仿宋_GB2312" w:hAnsi="宋体" w:eastAsia="仿宋_GB2312" w:cs="仿宋_GB2312"/>
                <w:b/>
                <w:i w:val="0"/>
                <w:color w:val="auto"/>
                <w:sz w:val="21"/>
                <w:szCs w:val="21"/>
                <w:highlight w:val="none"/>
                <w:u w:val="none"/>
              </w:rPr>
            </w:pPr>
          </w:p>
        </w:tc>
        <w:tc>
          <w:tcPr>
            <w:tcW w:w="1742" w:type="dxa"/>
            <w:vMerge w:val="continue"/>
            <w:tcBorders>
              <w:tl2br w:val="nil"/>
              <w:tr2bl w:val="nil"/>
            </w:tcBorders>
            <w:noWrap w:val="0"/>
            <w:tcMar>
              <w:top w:w="15" w:type="dxa"/>
              <w:left w:w="15" w:type="dxa"/>
              <w:right w:w="15" w:type="dxa"/>
            </w:tcMar>
            <w:vAlign w:val="center"/>
          </w:tcPr>
          <w:p>
            <w:pPr>
              <w:suppressLineNumbers w:val="0"/>
              <w:spacing w:beforeAutospacing="0" w:afterAutospacing="0"/>
              <w:jc w:val="center"/>
              <w:rPr>
                <w:rFonts w:hint="eastAsia" w:ascii="仿宋_GB2312" w:hAnsi="宋体" w:eastAsia="仿宋_GB2312" w:cs="仿宋_GB2312"/>
                <w:b/>
                <w:i w:val="0"/>
                <w:color w:val="auto"/>
                <w:sz w:val="21"/>
                <w:szCs w:val="21"/>
                <w:highlight w:val="none"/>
                <w:u w:val="none"/>
              </w:rPr>
            </w:pPr>
          </w:p>
        </w:tc>
        <w:tc>
          <w:tcPr>
            <w:tcW w:w="988" w:type="dxa"/>
            <w:vMerge w:val="continue"/>
            <w:tcBorders>
              <w:tl2br w:val="nil"/>
              <w:tr2bl w:val="nil"/>
            </w:tcBorders>
            <w:noWrap w:val="0"/>
            <w:tcMar>
              <w:top w:w="15" w:type="dxa"/>
              <w:left w:w="15" w:type="dxa"/>
              <w:right w:w="15" w:type="dxa"/>
            </w:tcMar>
            <w:vAlign w:val="center"/>
          </w:tcPr>
          <w:p>
            <w:pPr>
              <w:suppressLineNumbers w:val="0"/>
              <w:spacing w:beforeAutospacing="0" w:afterAutospacing="0"/>
              <w:jc w:val="center"/>
              <w:rPr>
                <w:rFonts w:hint="eastAsia" w:ascii="仿宋_GB2312" w:hAnsi="宋体" w:eastAsia="仿宋_GB2312" w:cs="仿宋_GB2312"/>
                <w:b/>
                <w:i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705" w:type="dxa"/>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eastAsia" w:ascii="仿宋_GB2312" w:hAnsi="宋体" w:eastAsia="仿宋_GB2312" w:cs="仿宋_GB2312"/>
                <w:i w:val="0"/>
                <w:color w:val="auto"/>
                <w:sz w:val="21"/>
                <w:szCs w:val="21"/>
                <w:highlight w:val="none"/>
                <w:u w:val="none"/>
              </w:rPr>
            </w:pPr>
            <w:r>
              <w:rPr>
                <w:rFonts w:hint="eastAsia" w:ascii="仿宋_GB2312" w:hAnsi="宋体" w:eastAsia="仿宋_GB2312" w:cs="仿宋_GB2312"/>
                <w:i w:val="0"/>
                <w:color w:val="auto"/>
                <w:kern w:val="0"/>
                <w:sz w:val="21"/>
                <w:szCs w:val="21"/>
                <w:highlight w:val="none"/>
                <w:u w:val="none"/>
                <w:lang w:val="en-US" w:eastAsia="zh-CN" w:bidi="ar"/>
              </w:rPr>
              <w:t>1</w:t>
            </w:r>
          </w:p>
        </w:tc>
        <w:tc>
          <w:tcPr>
            <w:tcW w:w="1933" w:type="dxa"/>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eastAsia" w:ascii="仿宋_GB2312" w:hAnsi="宋体" w:eastAsia="仿宋_GB2312" w:cs="仿宋_GB2312"/>
                <w:i w:val="0"/>
                <w:color w:val="auto"/>
                <w:sz w:val="21"/>
                <w:szCs w:val="21"/>
                <w:highlight w:val="none"/>
                <w:u w:val="none"/>
              </w:rPr>
            </w:pPr>
            <w:r>
              <w:rPr>
                <w:rFonts w:hint="eastAsia" w:ascii="仿宋_GB2312" w:hAnsi="宋体" w:eastAsia="仿宋_GB2312" w:cs="仿宋_GB2312"/>
                <w:i w:val="0"/>
                <w:color w:val="auto"/>
                <w:kern w:val="0"/>
                <w:sz w:val="21"/>
                <w:szCs w:val="21"/>
                <w:highlight w:val="none"/>
                <w:u w:val="none"/>
                <w:lang w:val="en-US" w:eastAsia="zh-CN" w:bidi="ar"/>
              </w:rPr>
              <w:t>鞍钢集团有限公司</w:t>
            </w:r>
          </w:p>
        </w:tc>
        <w:tc>
          <w:tcPr>
            <w:tcW w:w="2071" w:type="dxa"/>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ind w:firstLine="0" w:firstLineChars="0"/>
              <w:jc w:val="center"/>
              <w:textAlignment w:val="center"/>
              <w:rPr>
                <w:rFonts w:hint="default" w:ascii="仿宋_GB2312" w:hAnsi="宋体" w:eastAsia="仿宋_GB2312" w:cs="仿宋_GB2312"/>
                <w:i w:val="0"/>
                <w:color w:val="auto"/>
                <w:sz w:val="21"/>
                <w:szCs w:val="21"/>
                <w:highlight w:val="none"/>
                <w:u w:val="none"/>
                <w:lang w:val="en-US"/>
              </w:rPr>
            </w:pPr>
            <w:r>
              <w:rPr>
                <w:rFonts w:hint="eastAsia" w:ascii="仿宋_GB2312" w:hAnsi="宋体" w:eastAsia="仿宋_GB2312" w:cs="仿宋_GB2312"/>
                <w:i w:val="0"/>
                <w:color w:val="auto"/>
                <w:kern w:val="0"/>
                <w:sz w:val="21"/>
                <w:szCs w:val="21"/>
                <w:highlight w:val="none"/>
                <w:u w:val="none"/>
                <w:lang w:val="en-US" w:eastAsia="zh-CN" w:bidi="ar"/>
              </w:rPr>
              <w:t>3,500,000,000.00</w:t>
            </w:r>
          </w:p>
        </w:tc>
        <w:tc>
          <w:tcPr>
            <w:tcW w:w="1036" w:type="dxa"/>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default" w:ascii="仿宋_GB2312" w:hAnsi="宋体" w:eastAsia="仿宋_GB2312" w:cs="仿宋_GB2312"/>
                <w:i w:val="0"/>
                <w:color w:val="auto"/>
                <w:sz w:val="21"/>
                <w:szCs w:val="21"/>
                <w:highlight w:val="none"/>
                <w:u w:val="none"/>
                <w:lang w:val="en-US"/>
              </w:rPr>
            </w:pPr>
            <w:r>
              <w:rPr>
                <w:rFonts w:hint="eastAsia" w:ascii="仿宋_GB2312" w:hAnsi="宋体" w:eastAsia="仿宋_GB2312" w:cs="仿宋_GB2312"/>
                <w:i w:val="0"/>
                <w:color w:val="auto"/>
                <w:kern w:val="0"/>
                <w:sz w:val="21"/>
                <w:szCs w:val="21"/>
                <w:highlight w:val="none"/>
                <w:u w:val="none"/>
                <w:lang w:val="en-US" w:eastAsia="zh-CN" w:bidi="ar"/>
              </w:rPr>
              <w:t>货币</w:t>
            </w:r>
          </w:p>
        </w:tc>
        <w:tc>
          <w:tcPr>
            <w:tcW w:w="1742" w:type="dxa"/>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default" w:ascii="仿宋_GB2312" w:hAnsi="宋体" w:eastAsia="仿宋_GB2312" w:cs="仿宋_GB2312"/>
                <w:i w:val="0"/>
                <w:color w:val="auto"/>
                <w:sz w:val="21"/>
                <w:szCs w:val="21"/>
                <w:highlight w:val="none"/>
                <w:u w:val="none"/>
                <w:lang w:val="en-US"/>
              </w:rPr>
            </w:pPr>
            <w:r>
              <w:rPr>
                <w:rFonts w:hint="eastAsia" w:ascii="仿宋_GB2312" w:hAnsi="宋体" w:eastAsia="仿宋_GB2312" w:cs="仿宋_GB2312"/>
                <w:i w:val="0"/>
                <w:color w:val="auto"/>
                <w:kern w:val="0"/>
                <w:sz w:val="21"/>
                <w:szCs w:val="21"/>
                <w:highlight w:val="none"/>
                <w:u w:val="none"/>
                <w:lang w:val="en-US" w:eastAsia="zh-CN" w:bidi="ar"/>
              </w:rPr>
              <w:t>2022年11月11日</w:t>
            </w:r>
          </w:p>
        </w:tc>
        <w:tc>
          <w:tcPr>
            <w:tcW w:w="988" w:type="dxa"/>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eastAsia" w:ascii="仿宋_GB2312" w:hAnsi="宋体" w:eastAsia="仿宋_GB2312" w:cs="仿宋_GB2312"/>
                <w:i w:val="0"/>
                <w:color w:val="auto"/>
                <w:sz w:val="21"/>
                <w:szCs w:val="21"/>
                <w:highlight w:val="none"/>
                <w:u w:val="none"/>
              </w:rPr>
            </w:pPr>
            <w:r>
              <w:rPr>
                <w:rFonts w:hint="eastAsia" w:ascii="仿宋_GB2312" w:hAnsi="宋体" w:eastAsia="仿宋_GB2312" w:cs="仿宋_GB2312"/>
                <w:i w:val="0"/>
                <w:color w:val="auto"/>
                <w:kern w:val="0"/>
                <w:sz w:val="21"/>
                <w:szCs w:val="21"/>
                <w:highlight w:val="none"/>
                <w:u w:val="none"/>
                <w:lang w:val="en-US" w:eastAsia="zh-CN" w:bidi="ar"/>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705" w:type="dxa"/>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eastAsia" w:ascii="仿宋_GB2312" w:hAnsi="宋体" w:eastAsia="仿宋_GB2312" w:cs="仿宋_GB2312"/>
                <w:i w:val="0"/>
                <w:color w:val="auto"/>
                <w:sz w:val="21"/>
                <w:szCs w:val="21"/>
                <w:highlight w:val="none"/>
                <w:u w:val="none"/>
              </w:rPr>
            </w:pPr>
            <w:r>
              <w:rPr>
                <w:rFonts w:hint="eastAsia" w:ascii="仿宋_GB2312" w:hAnsi="宋体" w:eastAsia="仿宋_GB2312" w:cs="仿宋_GB2312"/>
                <w:i w:val="0"/>
                <w:color w:val="auto"/>
                <w:kern w:val="0"/>
                <w:sz w:val="21"/>
                <w:szCs w:val="21"/>
                <w:highlight w:val="none"/>
                <w:u w:val="none"/>
                <w:lang w:val="en-US" w:eastAsia="zh-CN" w:bidi="ar"/>
              </w:rPr>
              <w:t>2</w:t>
            </w:r>
          </w:p>
        </w:tc>
        <w:tc>
          <w:tcPr>
            <w:tcW w:w="1933" w:type="dxa"/>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eastAsia" w:ascii="仿宋_GB2312" w:hAnsi="宋体" w:eastAsia="仿宋_GB2312" w:cs="仿宋_GB2312"/>
                <w:i w:val="0"/>
                <w:color w:val="auto"/>
                <w:sz w:val="21"/>
                <w:szCs w:val="21"/>
                <w:highlight w:val="none"/>
                <w:u w:val="none"/>
              </w:rPr>
            </w:pPr>
            <w:r>
              <w:rPr>
                <w:rFonts w:hint="eastAsia" w:ascii="仿宋_GB2312" w:hAnsi="宋体" w:eastAsia="仿宋_GB2312" w:cs="仿宋_GB2312"/>
                <w:i w:val="0"/>
                <w:color w:val="auto"/>
                <w:kern w:val="0"/>
                <w:sz w:val="21"/>
                <w:szCs w:val="21"/>
                <w:highlight w:val="none"/>
                <w:u w:val="none"/>
                <w:lang w:val="en-US" w:eastAsia="zh-CN" w:bidi="ar"/>
              </w:rPr>
              <w:t>鞍钢股份有限公司</w:t>
            </w:r>
          </w:p>
        </w:tc>
        <w:tc>
          <w:tcPr>
            <w:tcW w:w="2071" w:type="dxa"/>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default" w:ascii="仿宋_GB2312" w:hAnsi="宋体" w:eastAsia="仿宋_GB2312" w:cs="仿宋_GB2312"/>
                <w:i w:val="0"/>
                <w:color w:val="auto"/>
                <w:sz w:val="21"/>
                <w:szCs w:val="21"/>
                <w:highlight w:val="none"/>
                <w:u w:val="none"/>
                <w:lang w:val="en-US"/>
              </w:rPr>
            </w:pPr>
            <w:r>
              <w:rPr>
                <w:rFonts w:hint="eastAsia" w:ascii="仿宋_GB2312" w:hAnsi="宋体" w:eastAsia="仿宋_GB2312" w:cs="仿宋_GB2312"/>
                <w:i w:val="0"/>
                <w:color w:val="auto"/>
                <w:kern w:val="0"/>
                <w:sz w:val="21"/>
                <w:szCs w:val="21"/>
                <w:highlight w:val="none"/>
                <w:u w:val="none"/>
                <w:lang w:val="en-US" w:eastAsia="zh-CN" w:bidi="ar"/>
              </w:rPr>
              <w:t>1,000,000,000.00</w:t>
            </w:r>
          </w:p>
        </w:tc>
        <w:tc>
          <w:tcPr>
            <w:tcW w:w="1036" w:type="dxa"/>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eastAsia" w:ascii="仿宋_GB2312" w:hAnsi="宋体" w:eastAsia="仿宋_GB2312" w:cs="仿宋_GB2312"/>
                <w:i w:val="0"/>
                <w:color w:val="auto"/>
                <w:sz w:val="21"/>
                <w:szCs w:val="21"/>
                <w:highlight w:val="none"/>
                <w:u w:val="none"/>
              </w:rPr>
            </w:pPr>
            <w:r>
              <w:rPr>
                <w:rFonts w:hint="eastAsia" w:ascii="仿宋_GB2312" w:hAnsi="宋体" w:eastAsia="仿宋_GB2312" w:cs="仿宋_GB2312"/>
                <w:i w:val="0"/>
                <w:color w:val="auto"/>
                <w:kern w:val="0"/>
                <w:sz w:val="21"/>
                <w:szCs w:val="21"/>
                <w:highlight w:val="none"/>
                <w:u w:val="none"/>
                <w:lang w:val="en-US" w:eastAsia="zh-CN" w:bidi="ar"/>
              </w:rPr>
              <w:t>货币</w:t>
            </w:r>
          </w:p>
        </w:tc>
        <w:tc>
          <w:tcPr>
            <w:tcW w:w="1742" w:type="dxa"/>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eastAsia" w:ascii="仿宋_GB2312" w:hAnsi="宋体" w:eastAsia="仿宋_GB2312" w:cs="仿宋_GB2312"/>
                <w:i w:val="0"/>
                <w:color w:val="auto"/>
                <w:sz w:val="21"/>
                <w:szCs w:val="21"/>
                <w:highlight w:val="none"/>
                <w:u w:val="none"/>
              </w:rPr>
            </w:pPr>
            <w:r>
              <w:rPr>
                <w:rFonts w:hint="eastAsia" w:ascii="仿宋_GB2312" w:hAnsi="宋体" w:eastAsia="仿宋_GB2312" w:cs="仿宋_GB2312"/>
                <w:i w:val="0"/>
                <w:color w:val="auto"/>
                <w:kern w:val="0"/>
                <w:sz w:val="21"/>
                <w:szCs w:val="21"/>
                <w:highlight w:val="none"/>
                <w:u w:val="none"/>
                <w:lang w:val="en-US" w:eastAsia="zh-CN" w:bidi="ar"/>
              </w:rPr>
              <w:t>2022年11月11日</w:t>
            </w:r>
          </w:p>
        </w:tc>
        <w:tc>
          <w:tcPr>
            <w:tcW w:w="988" w:type="dxa"/>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eastAsia" w:ascii="仿宋_GB2312" w:hAnsi="宋体" w:eastAsia="仿宋_GB2312" w:cs="仿宋_GB2312"/>
                <w:i w:val="0"/>
                <w:color w:val="auto"/>
                <w:sz w:val="21"/>
                <w:szCs w:val="21"/>
                <w:highlight w:val="none"/>
                <w:u w:val="none"/>
              </w:rPr>
            </w:pPr>
            <w:r>
              <w:rPr>
                <w:rFonts w:hint="eastAsia" w:ascii="仿宋_GB2312" w:hAnsi="宋体" w:eastAsia="仿宋_GB2312" w:cs="仿宋_GB2312"/>
                <w:i w:val="0"/>
                <w:color w:val="auto"/>
                <w:kern w:val="0"/>
                <w:sz w:val="21"/>
                <w:szCs w:val="21"/>
                <w:highlight w:val="none"/>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705" w:type="dxa"/>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eastAsia" w:ascii="仿宋_GB2312" w:hAnsi="宋体" w:eastAsia="仿宋_GB2312" w:cs="仿宋_GB2312"/>
                <w:i w:val="0"/>
                <w:color w:val="auto"/>
                <w:sz w:val="21"/>
                <w:szCs w:val="21"/>
                <w:highlight w:val="none"/>
                <w:u w:val="none"/>
              </w:rPr>
            </w:pPr>
            <w:r>
              <w:rPr>
                <w:rFonts w:hint="eastAsia" w:ascii="仿宋_GB2312" w:hAnsi="宋体" w:eastAsia="仿宋_GB2312" w:cs="仿宋_GB2312"/>
                <w:i w:val="0"/>
                <w:color w:val="auto"/>
                <w:kern w:val="0"/>
                <w:sz w:val="21"/>
                <w:szCs w:val="21"/>
                <w:highlight w:val="none"/>
                <w:u w:val="none"/>
                <w:lang w:val="en-US" w:eastAsia="zh-CN" w:bidi="ar"/>
              </w:rPr>
              <w:t>3</w:t>
            </w:r>
          </w:p>
        </w:tc>
        <w:tc>
          <w:tcPr>
            <w:tcW w:w="1933" w:type="dxa"/>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eastAsia" w:ascii="仿宋_GB2312" w:hAnsi="宋体" w:eastAsia="仿宋_GB2312" w:cs="仿宋_GB2312"/>
                <w:i w:val="0"/>
                <w:color w:val="auto"/>
                <w:sz w:val="21"/>
                <w:szCs w:val="21"/>
                <w:highlight w:val="none"/>
                <w:u w:val="none"/>
              </w:rPr>
            </w:pPr>
            <w:r>
              <w:rPr>
                <w:rFonts w:hint="eastAsia" w:ascii="仿宋_GB2312" w:hAnsi="宋体" w:eastAsia="仿宋_GB2312" w:cs="仿宋_GB2312"/>
                <w:i w:val="0"/>
                <w:color w:val="auto"/>
                <w:kern w:val="0"/>
                <w:sz w:val="21"/>
                <w:szCs w:val="21"/>
                <w:highlight w:val="none"/>
                <w:u w:val="none"/>
                <w:lang w:val="en-US" w:eastAsia="zh-CN" w:bidi="ar"/>
              </w:rPr>
              <w:t>攀钢集团钒钛资源股份有限公司</w:t>
            </w:r>
          </w:p>
        </w:tc>
        <w:tc>
          <w:tcPr>
            <w:tcW w:w="2071" w:type="dxa"/>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default" w:ascii="仿宋_GB2312" w:hAnsi="宋体" w:eastAsia="仿宋_GB2312" w:cs="仿宋_GB2312"/>
                <w:i w:val="0"/>
                <w:color w:val="auto"/>
                <w:sz w:val="21"/>
                <w:szCs w:val="21"/>
                <w:highlight w:val="none"/>
                <w:u w:val="none"/>
                <w:lang w:val="en-US"/>
              </w:rPr>
            </w:pPr>
            <w:r>
              <w:rPr>
                <w:rFonts w:hint="eastAsia" w:ascii="仿宋_GB2312" w:hAnsi="宋体" w:eastAsia="仿宋_GB2312" w:cs="仿宋_GB2312"/>
                <w:i w:val="0"/>
                <w:color w:val="auto"/>
                <w:kern w:val="0"/>
                <w:sz w:val="21"/>
                <w:szCs w:val="21"/>
                <w:highlight w:val="none"/>
                <w:u w:val="none"/>
                <w:lang w:val="en-US" w:eastAsia="zh-CN" w:bidi="ar"/>
              </w:rPr>
              <w:t>500,000,000.00</w:t>
            </w:r>
          </w:p>
        </w:tc>
        <w:tc>
          <w:tcPr>
            <w:tcW w:w="1036" w:type="dxa"/>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eastAsia" w:ascii="仿宋_GB2312" w:hAnsi="宋体" w:eastAsia="仿宋_GB2312" w:cs="仿宋_GB2312"/>
                <w:i w:val="0"/>
                <w:color w:val="auto"/>
                <w:sz w:val="21"/>
                <w:szCs w:val="21"/>
                <w:highlight w:val="none"/>
                <w:u w:val="none"/>
              </w:rPr>
            </w:pPr>
            <w:r>
              <w:rPr>
                <w:rFonts w:hint="eastAsia" w:ascii="仿宋_GB2312" w:hAnsi="宋体" w:eastAsia="仿宋_GB2312" w:cs="仿宋_GB2312"/>
                <w:i w:val="0"/>
                <w:color w:val="auto"/>
                <w:kern w:val="0"/>
                <w:sz w:val="21"/>
                <w:szCs w:val="21"/>
                <w:highlight w:val="none"/>
                <w:u w:val="none"/>
                <w:lang w:val="en-US" w:eastAsia="zh-CN" w:bidi="ar"/>
              </w:rPr>
              <w:t>货币</w:t>
            </w:r>
          </w:p>
        </w:tc>
        <w:tc>
          <w:tcPr>
            <w:tcW w:w="1742" w:type="dxa"/>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eastAsia" w:ascii="仿宋_GB2312" w:hAnsi="宋体" w:eastAsia="仿宋_GB2312" w:cs="仿宋_GB2312"/>
                <w:i w:val="0"/>
                <w:color w:val="auto"/>
                <w:sz w:val="21"/>
                <w:szCs w:val="21"/>
                <w:highlight w:val="none"/>
                <w:u w:val="none"/>
              </w:rPr>
            </w:pPr>
            <w:r>
              <w:rPr>
                <w:rFonts w:hint="eastAsia" w:ascii="仿宋_GB2312" w:hAnsi="宋体" w:eastAsia="仿宋_GB2312" w:cs="仿宋_GB2312"/>
                <w:i w:val="0"/>
                <w:color w:val="auto"/>
                <w:kern w:val="0"/>
                <w:sz w:val="21"/>
                <w:szCs w:val="21"/>
                <w:highlight w:val="none"/>
                <w:u w:val="none"/>
                <w:lang w:val="en-US" w:eastAsia="zh-CN" w:bidi="ar"/>
              </w:rPr>
              <w:t>2022年11月11日</w:t>
            </w:r>
          </w:p>
        </w:tc>
        <w:tc>
          <w:tcPr>
            <w:tcW w:w="988" w:type="dxa"/>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eastAsia" w:ascii="仿宋_GB2312" w:hAnsi="宋体" w:eastAsia="仿宋_GB2312" w:cs="仿宋_GB2312"/>
                <w:i w:val="0"/>
                <w:color w:val="auto"/>
                <w:sz w:val="21"/>
                <w:szCs w:val="21"/>
                <w:highlight w:val="none"/>
                <w:u w:val="none"/>
              </w:rPr>
            </w:pPr>
            <w:r>
              <w:rPr>
                <w:rFonts w:hint="eastAsia" w:ascii="仿宋_GB2312" w:hAnsi="宋体" w:eastAsia="仿宋_GB2312" w:cs="仿宋_GB2312"/>
                <w:i w:val="0"/>
                <w:color w:val="auto"/>
                <w:kern w:val="0"/>
                <w:sz w:val="21"/>
                <w:szCs w:val="21"/>
                <w:highlight w:val="none"/>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2638" w:type="dxa"/>
            <w:gridSpan w:val="2"/>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eastAsia" w:ascii="仿宋_GB2312" w:hAnsi="宋体" w:eastAsia="仿宋_GB2312" w:cs="仿宋_GB2312"/>
                <w:i w:val="0"/>
                <w:color w:val="auto"/>
                <w:sz w:val="21"/>
                <w:szCs w:val="21"/>
                <w:highlight w:val="none"/>
                <w:u w:val="none"/>
              </w:rPr>
            </w:pPr>
            <w:r>
              <w:rPr>
                <w:rFonts w:hint="eastAsia" w:ascii="仿宋_GB2312" w:hAnsi="宋体" w:eastAsia="仿宋_GB2312" w:cs="仿宋_GB2312"/>
                <w:b/>
                <w:bCs/>
                <w:i w:val="0"/>
                <w:color w:val="auto"/>
                <w:kern w:val="0"/>
                <w:sz w:val="21"/>
                <w:szCs w:val="21"/>
                <w:highlight w:val="none"/>
                <w:u w:val="none"/>
                <w:lang w:val="en-US" w:eastAsia="zh-CN" w:bidi="ar"/>
              </w:rPr>
              <w:t>合         计</w:t>
            </w:r>
          </w:p>
        </w:tc>
        <w:tc>
          <w:tcPr>
            <w:tcW w:w="2071" w:type="dxa"/>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default" w:ascii="仿宋_GB2312" w:hAnsi="宋体" w:eastAsia="仿宋_GB2312" w:cs="仿宋_GB2312"/>
                <w:i w:val="0"/>
                <w:color w:val="auto"/>
                <w:sz w:val="21"/>
                <w:szCs w:val="21"/>
                <w:highlight w:val="none"/>
                <w:u w:val="none"/>
                <w:lang w:val="en-US"/>
              </w:rPr>
            </w:pPr>
            <w:r>
              <w:rPr>
                <w:rFonts w:hint="eastAsia" w:ascii="仿宋_GB2312" w:hAnsi="宋体" w:eastAsia="仿宋_GB2312" w:cs="仿宋_GB2312"/>
                <w:i w:val="0"/>
                <w:color w:val="auto"/>
                <w:kern w:val="0"/>
                <w:sz w:val="21"/>
                <w:szCs w:val="21"/>
                <w:highlight w:val="none"/>
                <w:u w:val="none"/>
                <w:lang w:val="en-US" w:eastAsia="zh-CN" w:bidi="ar"/>
              </w:rPr>
              <w:t>5,000,000,000.00</w:t>
            </w:r>
          </w:p>
        </w:tc>
        <w:tc>
          <w:tcPr>
            <w:tcW w:w="1036" w:type="dxa"/>
            <w:tcBorders>
              <w:tl2br w:val="nil"/>
              <w:tr2bl w:val="nil"/>
            </w:tcBorders>
            <w:noWrap w:val="0"/>
            <w:tcMar>
              <w:top w:w="15" w:type="dxa"/>
              <w:left w:w="15" w:type="dxa"/>
              <w:right w:w="15" w:type="dxa"/>
            </w:tcMar>
            <w:vAlign w:val="center"/>
          </w:tcPr>
          <w:p>
            <w:pPr>
              <w:suppressLineNumbers w:val="0"/>
              <w:spacing w:beforeAutospacing="0" w:afterAutospacing="0"/>
              <w:jc w:val="left"/>
              <w:rPr>
                <w:rFonts w:hint="eastAsia" w:ascii="仿宋_GB2312" w:hAnsi="宋体" w:eastAsia="仿宋_GB2312" w:cs="仿宋_GB2312"/>
                <w:i w:val="0"/>
                <w:color w:val="auto"/>
                <w:sz w:val="21"/>
                <w:szCs w:val="21"/>
                <w:highlight w:val="none"/>
                <w:u w:val="none"/>
              </w:rPr>
            </w:pPr>
          </w:p>
        </w:tc>
        <w:tc>
          <w:tcPr>
            <w:tcW w:w="1742" w:type="dxa"/>
            <w:tcBorders>
              <w:tl2br w:val="nil"/>
              <w:tr2bl w:val="nil"/>
            </w:tcBorders>
            <w:noWrap w:val="0"/>
            <w:tcMar>
              <w:top w:w="15" w:type="dxa"/>
              <w:left w:w="15" w:type="dxa"/>
              <w:right w:w="15" w:type="dxa"/>
            </w:tcMar>
            <w:vAlign w:val="center"/>
          </w:tcPr>
          <w:p>
            <w:pPr>
              <w:suppressLineNumbers w:val="0"/>
              <w:spacing w:beforeAutospacing="0" w:afterAutospacing="0"/>
              <w:jc w:val="right"/>
              <w:rPr>
                <w:rFonts w:hint="eastAsia" w:ascii="仿宋_GB2312" w:hAnsi="宋体" w:eastAsia="仿宋_GB2312" w:cs="仿宋_GB2312"/>
                <w:i w:val="0"/>
                <w:color w:val="auto"/>
                <w:sz w:val="21"/>
                <w:szCs w:val="21"/>
                <w:highlight w:val="none"/>
                <w:u w:val="none"/>
              </w:rPr>
            </w:pPr>
          </w:p>
        </w:tc>
        <w:tc>
          <w:tcPr>
            <w:tcW w:w="988" w:type="dxa"/>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eastAsia" w:ascii="仿宋_GB2312" w:hAnsi="宋体" w:eastAsia="仿宋_GB2312" w:cs="仿宋_GB2312"/>
                <w:i w:val="0"/>
                <w:color w:val="auto"/>
                <w:sz w:val="21"/>
                <w:szCs w:val="21"/>
                <w:highlight w:val="none"/>
                <w:u w:val="none"/>
              </w:rPr>
            </w:pPr>
            <w:r>
              <w:rPr>
                <w:rFonts w:hint="eastAsia" w:ascii="仿宋_GB2312" w:hAnsi="宋体" w:eastAsia="仿宋_GB2312" w:cs="仿宋_GB2312"/>
                <w:i w:val="0"/>
                <w:color w:val="auto"/>
                <w:kern w:val="0"/>
                <w:sz w:val="21"/>
                <w:szCs w:val="21"/>
                <w:highlight w:val="none"/>
                <w:u w:val="none"/>
                <w:lang w:val="en-US" w:eastAsia="zh-CN" w:bidi="ar"/>
              </w:rPr>
              <w:t>100%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2022年，鞍钢财务</w:t>
      </w:r>
      <w:r>
        <w:rPr>
          <w:rFonts w:hint="eastAsia" w:ascii="仿宋_GB2312" w:hAnsi="仿宋_GB2312" w:eastAsia="仿宋_GB2312" w:cs="仿宋_GB2312"/>
          <w:sz w:val="32"/>
          <w:szCs w:val="32"/>
          <w:highlight w:val="none"/>
          <w:lang w:eastAsia="zh-CN"/>
        </w:rPr>
        <w:t>公司</w:t>
      </w:r>
      <w:r>
        <w:rPr>
          <w:rFonts w:hint="eastAsia" w:ascii="仿宋_GB2312" w:hAnsi="仿宋_GB2312" w:eastAsia="仿宋_GB2312" w:cs="仿宋_GB2312"/>
          <w:sz w:val="32"/>
          <w:szCs w:val="32"/>
          <w:highlight w:val="none"/>
        </w:rPr>
        <w:t>增加注册资本，增资方式为未分配利润转增资本，增资额度为人民币10亿元，增资后，</w:t>
      </w:r>
      <w:r>
        <w:rPr>
          <w:rFonts w:hint="eastAsia" w:ascii="仿宋_GB2312" w:hAnsi="仿宋_GB2312" w:eastAsia="仿宋_GB2312" w:cs="仿宋_GB2312"/>
          <w:sz w:val="32"/>
          <w:szCs w:val="32"/>
          <w:highlight w:val="none"/>
          <w:lang w:val="en-US" w:eastAsia="zh-CN"/>
        </w:rPr>
        <w:t>鞍钢财务</w:t>
      </w:r>
      <w:r>
        <w:rPr>
          <w:rFonts w:hint="eastAsia" w:ascii="仿宋_GB2312" w:hAnsi="仿宋_GB2312" w:eastAsia="仿宋_GB2312" w:cs="仿宋_GB2312"/>
          <w:sz w:val="32"/>
          <w:szCs w:val="32"/>
          <w:highlight w:val="none"/>
        </w:rPr>
        <w:t>公司注册资本为人民币50亿元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详见下表：</w:t>
      </w:r>
    </w:p>
    <w:p>
      <w:pPr>
        <w:pStyle w:val="2"/>
        <w:rPr>
          <w:rFonts w:hint="eastAsia"/>
          <w:lang w:val="en-US" w:eastAsia="zh-CN"/>
        </w:rPr>
      </w:pPr>
    </w:p>
    <w:tbl>
      <w:tblPr>
        <w:tblStyle w:val="8"/>
        <w:tblW w:w="8892" w:type="dxa"/>
        <w:jc w:val="center"/>
        <w:tblLayout w:type="autofit"/>
        <w:tblCellMar>
          <w:top w:w="0" w:type="dxa"/>
          <w:left w:w="0" w:type="dxa"/>
          <w:bottom w:w="0" w:type="dxa"/>
          <w:right w:w="0" w:type="dxa"/>
        </w:tblCellMar>
      </w:tblPr>
      <w:tblGrid>
        <w:gridCol w:w="684"/>
        <w:gridCol w:w="3816"/>
        <w:gridCol w:w="1032"/>
        <w:gridCol w:w="1176"/>
        <w:gridCol w:w="1116"/>
        <w:gridCol w:w="1068"/>
      </w:tblGrid>
      <w:tr>
        <w:tblPrEx>
          <w:tblCellMar>
            <w:top w:w="0" w:type="dxa"/>
            <w:left w:w="0" w:type="dxa"/>
            <w:bottom w:w="0" w:type="dxa"/>
            <w:right w:w="0" w:type="dxa"/>
          </w:tblCellMar>
        </w:tblPrEx>
        <w:trPr>
          <w:trHeight w:val="600" w:hRule="atLeast"/>
          <w:jc w:val="center"/>
        </w:trPr>
        <w:tc>
          <w:tcPr>
            <w:tcW w:w="684" w:type="dxa"/>
            <w:vMerge w:val="restart"/>
            <w:tcBorders>
              <w:top w:val="single" w:color="000000" w:sz="8" w:space="0"/>
              <w:left w:val="single" w:color="000000" w:sz="8"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序号</w:t>
            </w:r>
          </w:p>
        </w:tc>
        <w:tc>
          <w:tcPr>
            <w:tcW w:w="3816" w:type="dxa"/>
            <w:vMerge w:val="restart"/>
            <w:tcBorders>
              <w:top w:val="single" w:color="000000" w:sz="8"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出资人名称</w:t>
            </w:r>
          </w:p>
        </w:tc>
        <w:tc>
          <w:tcPr>
            <w:tcW w:w="2208" w:type="dxa"/>
            <w:gridSpan w:val="2"/>
            <w:tcBorders>
              <w:top w:val="single" w:color="000000" w:sz="8" w:space="0"/>
              <w:left w:val="single" w:color="000000" w:sz="8" w:space="0"/>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增资前情况</w:t>
            </w:r>
          </w:p>
        </w:tc>
        <w:tc>
          <w:tcPr>
            <w:tcW w:w="2184" w:type="dxa"/>
            <w:gridSpan w:val="2"/>
            <w:tcBorders>
              <w:top w:val="single" w:color="000000" w:sz="8" w:space="0"/>
              <w:left w:val="single" w:color="000000" w:sz="8" w:space="0"/>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增资后情况</w:t>
            </w:r>
          </w:p>
        </w:tc>
      </w:tr>
      <w:tr>
        <w:tblPrEx>
          <w:tblCellMar>
            <w:top w:w="0" w:type="dxa"/>
            <w:left w:w="0" w:type="dxa"/>
            <w:bottom w:w="0" w:type="dxa"/>
            <w:right w:w="0" w:type="dxa"/>
          </w:tblCellMar>
        </w:tblPrEx>
        <w:trPr>
          <w:trHeight w:val="900" w:hRule="atLeast"/>
          <w:jc w:val="center"/>
        </w:trPr>
        <w:tc>
          <w:tcPr>
            <w:tcW w:w="684" w:type="dxa"/>
            <w:vMerge w:val="continue"/>
            <w:tcBorders>
              <w:top w:val="single" w:color="000000" w:sz="8" w:space="0"/>
              <w:left w:val="single" w:color="000000" w:sz="8" w:space="0"/>
              <w:bottom w:val="single" w:color="000000" w:sz="4" w:space="0"/>
              <w:right w:val="single" w:color="000000" w:sz="4" w:space="0"/>
            </w:tcBorders>
            <w:noWrap w:val="0"/>
            <w:tcMar>
              <w:top w:w="12" w:type="dxa"/>
              <w:left w:w="12" w:type="dxa"/>
              <w:right w:w="12" w:type="dxa"/>
            </w:tcMar>
            <w:vAlign w:val="center"/>
          </w:tcPr>
          <w:p>
            <w:pPr>
              <w:suppressLineNumbers w:val="0"/>
              <w:spacing w:beforeAutospacing="0" w:afterAutospacing="0"/>
              <w:jc w:val="center"/>
              <w:rPr>
                <w:rFonts w:hint="eastAsia" w:ascii="仿宋_GB2312" w:hAnsi="仿宋_GB2312" w:eastAsia="仿宋_GB2312" w:cs="仿宋_GB2312"/>
                <w:b/>
                <w:i w:val="0"/>
                <w:color w:val="000000"/>
                <w:sz w:val="21"/>
                <w:szCs w:val="21"/>
                <w:highlight w:val="none"/>
                <w:u w:val="none"/>
              </w:rPr>
            </w:pPr>
          </w:p>
        </w:tc>
        <w:tc>
          <w:tcPr>
            <w:tcW w:w="3816" w:type="dxa"/>
            <w:vMerge w:val="continue"/>
            <w:tcBorders>
              <w:top w:val="single" w:color="000000" w:sz="8" w:space="0"/>
              <w:left w:val="single" w:color="000000" w:sz="4" w:space="0"/>
              <w:bottom w:val="single" w:color="000000" w:sz="4" w:space="0"/>
              <w:right w:val="nil"/>
            </w:tcBorders>
            <w:noWrap w:val="0"/>
            <w:tcMar>
              <w:top w:w="12" w:type="dxa"/>
              <w:left w:w="12" w:type="dxa"/>
              <w:right w:w="12" w:type="dxa"/>
            </w:tcMar>
            <w:vAlign w:val="center"/>
          </w:tcPr>
          <w:p>
            <w:pPr>
              <w:suppressLineNumbers w:val="0"/>
              <w:spacing w:beforeAutospacing="0" w:afterAutospacing="0"/>
              <w:jc w:val="center"/>
              <w:rPr>
                <w:rFonts w:hint="eastAsia" w:ascii="仿宋_GB2312" w:hAnsi="仿宋_GB2312" w:eastAsia="仿宋_GB2312" w:cs="仿宋_GB2312"/>
                <w:b/>
                <w:i w:val="0"/>
                <w:color w:val="000000"/>
                <w:sz w:val="21"/>
                <w:szCs w:val="21"/>
                <w:highlight w:val="none"/>
                <w:u w:val="none"/>
              </w:rPr>
            </w:pPr>
          </w:p>
        </w:tc>
        <w:tc>
          <w:tcPr>
            <w:tcW w:w="1032" w:type="dxa"/>
            <w:tcBorders>
              <w:top w:val="single" w:color="000000" w:sz="4" w:space="0"/>
              <w:left w:val="single" w:color="000000" w:sz="8"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出资金额（亿元）</w:t>
            </w:r>
          </w:p>
        </w:tc>
        <w:tc>
          <w:tcPr>
            <w:tcW w:w="1176" w:type="dxa"/>
            <w:tcBorders>
              <w:top w:val="single" w:color="000000" w:sz="4" w:space="0"/>
              <w:left w:val="single" w:color="000000" w:sz="4" w:space="0"/>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出资比例（%）</w:t>
            </w:r>
          </w:p>
        </w:tc>
        <w:tc>
          <w:tcPr>
            <w:tcW w:w="1116" w:type="dxa"/>
            <w:tcBorders>
              <w:top w:val="single" w:color="000000" w:sz="4" w:space="0"/>
              <w:left w:val="single" w:color="000000" w:sz="8"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出资金额（亿元）</w:t>
            </w:r>
          </w:p>
        </w:tc>
        <w:tc>
          <w:tcPr>
            <w:tcW w:w="1068" w:type="dxa"/>
            <w:tcBorders>
              <w:top w:val="single" w:color="000000" w:sz="4" w:space="0"/>
              <w:left w:val="single" w:color="000000" w:sz="4" w:space="0"/>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出资比例（%）</w:t>
            </w:r>
          </w:p>
        </w:tc>
      </w:tr>
      <w:tr>
        <w:tblPrEx>
          <w:tblCellMar>
            <w:top w:w="0" w:type="dxa"/>
            <w:left w:w="0" w:type="dxa"/>
            <w:bottom w:w="0" w:type="dxa"/>
            <w:right w:w="0" w:type="dxa"/>
          </w:tblCellMar>
        </w:tblPrEx>
        <w:trPr>
          <w:trHeight w:val="600" w:hRule="atLeast"/>
          <w:jc w:val="center"/>
        </w:trPr>
        <w:tc>
          <w:tcPr>
            <w:tcW w:w="684" w:type="dxa"/>
            <w:tcBorders>
              <w:top w:val="single" w:color="000000" w:sz="4" w:space="0"/>
              <w:left w:val="single" w:color="000000" w:sz="8"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1</w:t>
            </w:r>
          </w:p>
        </w:tc>
        <w:tc>
          <w:tcPr>
            <w:tcW w:w="3816"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鞍钢集团有限公司</w:t>
            </w:r>
          </w:p>
        </w:tc>
        <w:tc>
          <w:tcPr>
            <w:tcW w:w="1032" w:type="dxa"/>
            <w:tcBorders>
              <w:top w:val="single" w:color="000000" w:sz="4" w:space="0"/>
              <w:left w:val="single" w:color="000000" w:sz="8"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28.00</w:t>
            </w:r>
          </w:p>
        </w:tc>
        <w:tc>
          <w:tcPr>
            <w:tcW w:w="1176" w:type="dxa"/>
            <w:tcBorders>
              <w:top w:val="single" w:color="000000" w:sz="4" w:space="0"/>
              <w:left w:val="single" w:color="000000" w:sz="4" w:space="0"/>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70</w:t>
            </w:r>
          </w:p>
        </w:tc>
        <w:tc>
          <w:tcPr>
            <w:tcW w:w="1116" w:type="dxa"/>
            <w:tcBorders>
              <w:top w:val="single" w:color="000000" w:sz="4" w:space="0"/>
              <w:left w:val="single" w:color="000000" w:sz="8"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35.00</w:t>
            </w:r>
          </w:p>
        </w:tc>
        <w:tc>
          <w:tcPr>
            <w:tcW w:w="1068" w:type="dxa"/>
            <w:tcBorders>
              <w:top w:val="single" w:color="000000" w:sz="4" w:space="0"/>
              <w:left w:val="single" w:color="000000" w:sz="4" w:space="0"/>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70</w:t>
            </w:r>
          </w:p>
        </w:tc>
      </w:tr>
      <w:tr>
        <w:tblPrEx>
          <w:tblCellMar>
            <w:top w:w="0" w:type="dxa"/>
            <w:left w:w="0" w:type="dxa"/>
            <w:bottom w:w="0" w:type="dxa"/>
            <w:right w:w="0" w:type="dxa"/>
          </w:tblCellMar>
        </w:tblPrEx>
        <w:trPr>
          <w:trHeight w:val="600" w:hRule="atLeast"/>
          <w:jc w:val="center"/>
        </w:trPr>
        <w:tc>
          <w:tcPr>
            <w:tcW w:w="684" w:type="dxa"/>
            <w:tcBorders>
              <w:top w:val="single" w:color="000000" w:sz="4" w:space="0"/>
              <w:left w:val="single" w:color="000000" w:sz="8"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2</w:t>
            </w:r>
          </w:p>
        </w:tc>
        <w:tc>
          <w:tcPr>
            <w:tcW w:w="3816"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鞍钢股份有限公司</w:t>
            </w:r>
          </w:p>
        </w:tc>
        <w:tc>
          <w:tcPr>
            <w:tcW w:w="1032" w:type="dxa"/>
            <w:tcBorders>
              <w:top w:val="single" w:color="000000" w:sz="4" w:space="0"/>
              <w:left w:val="single" w:color="000000" w:sz="8"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8.00</w:t>
            </w:r>
          </w:p>
        </w:tc>
        <w:tc>
          <w:tcPr>
            <w:tcW w:w="1176" w:type="dxa"/>
            <w:tcBorders>
              <w:top w:val="single" w:color="000000" w:sz="4" w:space="0"/>
              <w:left w:val="single" w:color="000000" w:sz="4" w:space="0"/>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20</w:t>
            </w:r>
          </w:p>
        </w:tc>
        <w:tc>
          <w:tcPr>
            <w:tcW w:w="1116" w:type="dxa"/>
            <w:tcBorders>
              <w:top w:val="single" w:color="000000" w:sz="4" w:space="0"/>
              <w:left w:val="single" w:color="000000" w:sz="8"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10.00</w:t>
            </w:r>
          </w:p>
        </w:tc>
        <w:tc>
          <w:tcPr>
            <w:tcW w:w="1068" w:type="dxa"/>
            <w:tcBorders>
              <w:top w:val="single" w:color="000000" w:sz="4" w:space="0"/>
              <w:left w:val="single" w:color="000000" w:sz="4" w:space="0"/>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20</w:t>
            </w:r>
          </w:p>
        </w:tc>
      </w:tr>
      <w:tr>
        <w:tblPrEx>
          <w:tblCellMar>
            <w:top w:w="0" w:type="dxa"/>
            <w:left w:w="0" w:type="dxa"/>
            <w:bottom w:w="0" w:type="dxa"/>
            <w:right w:w="0" w:type="dxa"/>
          </w:tblCellMar>
        </w:tblPrEx>
        <w:trPr>
          <w:trHeight w:val="600" w:hRule="atLeast"/>
          <w:jc w:val="center"/>
        </w:trPr>
        <w:tc>
          <w:tcPr>
            <w:tcW w:w="684" w:type="dxa"/>
            <w:tcBorders>
              <w:top w:val="single" w:color="000000" w:sz="4" w:space="0"/>
              <w:left w:val="single" w:color="000000" w:sz="8"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3</w:t>
            </w:r>
          </w:p>
        </w:tc>
        <w:tc>
          <w:tcPr>
            <w:tcW w:w="3816"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攀钢集团钒钛资源股份有限公司</w:t>
            </w:r>
          </w:p>
        </w:tc>
        <w:tc>
          <w:tcPr>
            <w:tcW w:w="1032" w:type="dxa"/>
            <w:tcBorders>
              <w:top w:val="single" w:color="000000" w:sz="4" w:space="0"/>
              <w:left w:val="single" w:color="000000" w:sz="8"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4.00</w:t>
            </w:r>
          </w:p>
        </w:tc>
        <w:tc>
          <w:tcPr>
            <w:tcW w:w="1176" w:type="dxa"/>
            <w:tcBorders>
              <w:top w:val="single" w:color="000000" w:sz="4" w:space="0"/>
              <w:left w:val="single" w:color="000000" w:sz="4" w:space="0"/>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10</w:t>
            </w:r>
          </w:p>
        </w:tc>
        <w:tc>
          <w:tcPr>
            <w:tcW w:w="1116" w:type="dxa"/>
            <w:tcBorders>
              <w:top w:val="single" w:color="000000" w:sz="4" w:space="0"/>
              <w:left w:val="single" w:color="000000" w:sz="8"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5.00</w:t>
            </w:r>
          </w:p>
        </w:tc>
        <w:tc>
          <w:tcPr>
            <w:tcW w:w="1068" w:type="dxa"/>
            <w:tcBorders>
              <w:top w:val="single" w:color="000000" w:sz="4" w:space="0"/>
              <w:left w:val="single" w:color="000000" w:sz="4" w:space="0"/>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10</w:t>
            </w:r>
          </w:p>
        </w:tc>
      </w:tr>
      <w:tr>
        <w:tblPrEx>
          <w:tblCellMar>
            <w:top w:w="0" w:type="dxa"/>
            <w:left w:w="0" w:type="dxa"/>
            <w:bottom w:w="0" w:type="dxa"/>
            <w:right w:w="0" w:type="dxa"/>
          </w:tblCellMar>
        </w:tblPrEx>
        <w:trPr>
          <w:trHeight w:val="512" w:hRule="atLeast"/>
          <w:jc w:val="center"/>
        </w:trPr>
        <w:tc>
          <w:tcPr>
            <w:tcW w:w="4500" w:type="dxa"/>
            <w:gridSpan w:val="2"/>
            <w:tcBorders>
              <w:top w:val="single" w:color="000000" w:sz="4" w:space="0"/>
              <w:left w:val="single" w:color="000000" w:sz="8"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合          计</w:t>
            </w:r>
          </w:p>
        </w:tc>
        <w:tc>
          <w:tcPr>
            <w:tcW w:w="1032" w:type="dxa"/>
            <w:tcBorders>
              <w:top w:val="single" w:color="000000" w:sz="4" w:space="0"/>
              <w:left w:val="single" w:color="000000" w:sz="8"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40</w:t>
            </w:r>
          </w:p>
        </w:tc>
        <w:tc>
          <w:tcPr>
            <w:tcW w:w="1176" w:type="dxa"/>
            <w:tcBorders>
              <w:top w:val="single" w:color="000000" w:sz="4" w:space="0"/>
              <w:left w:val="single" w:color="000000" w:sz="4"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100</w:t>
            </w:r>
          </w:p>
        </w:tc>
        <w:tc>
          <w:tcPr>
            <w:tcW w:w="1116" w:type="dxa"/>
            <w:tcBorders>
              <w:top w:val="single" w:color="000000" w:sz="4" w:space="0"/>
              <w:left w:val="single" w:color="000000" w:sz="8"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50</w:t>
            </w:r>
          </w:p>
        </w:tc>
        <w:tc>
          <w:tcPr>
            <w:tcW w:w="1068" w:type="dxa"/>
            <w:tcBorders>
              <w:top w:val="single" w:color="000000" w:sz="4" w:space="0"/>
              <w:left w:val="single" w:color="000000" w:sz="4"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100</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w:t>
      </w:r>
      <w:bookmarkEnd w:id="18"/>
      <w:r>
        <w:rPr>
          <w:rFonts w:hint="eastAsia" w:ascii="楷体_GB2312" w:hAnsi="楷体_GB2312" w:eastAsia="楷体_GB2312" w:cs="楷体_GB2312"/>
          <w:b/>
          <w:bCs/>
          <w:sz w:val="32"/>
          <w:szCs w:val="32"/>
          <w:highlight w:val="none"/>
        </w:rPr>
        <w:t>三）股东会职责及会议召开情况</w:t>
      </w:r>
      <w:bookmarkEnd w:id="19"/>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highlight w:val="none"/>
        </w:rPr>
      </w:pPr>
      <w:bookmarkStart w:id="22" w:name="bookmark20"/>
      <w:bookmarkEnd w:id="22"/>
      <w:bookmarkStart w:id="23" w:name="bookmark21"/>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rPr>
        <w:t>股东会职责</w:t>
      </w:r>
      <w:bookmarkEnd w:id="20"/>
      <w:bookmarkEnd w:id="21"/>
      <w:bookmarkEnd w:id="23"/>
    </w:p>
    <w:p>
      <w:pPr>
        <w:pStyle w:val="50"/>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主要负责</w:t>
      </w:r>
      <w:r>
        <w:rPr>
          <w:rFonts w:hint="eastAsia" w:ascii="仿宋_GB2312" w:hAnsi="仿宋_GB2312" w:eastAsia="仿宋_GB2312" w:cs="仿宋_GB2312"/>
          <w:sz w:val="32"/>
          <w:szCs w:val="32"/>
          <w:highlight w:val="none"/>
        </w:rPr>
        <w:t>决定公司的战略和发展规划；决定公司的经营方针和年度投资计划；审议批准董事会的</w:t>
      </w:r>
      <w:r>
        <w:rPr>
          <w:rFonts w:hint="eastAsia" w:ascii="仿宋_GB2312" w:hAnsi="仿宋_GB2312" w:eastAsia="仿宋_GB2312" w:cs="仿宋_GB2312"/>
          <w:sz w:val="32"/>
          <w:szCs w:val="32"/>
          <w:highlight w:val="none"/>
          <w:lang w:val="en-US" w:eastAsia="zh-CN"/>
        </w:rPr>
        <w:t>工作</w:t>
      </w:r>
      <w:r>
        <w:rPr>
          <w:rFonts w:hint="eastAsia" w:ascii="仿宋_GB2312" w:hAnsi="仿宋_GB2312" w:eastAsia="仿宋_GB2312" w:cs="仿宋_GB2312"/>
          <w:sz w:val="32"/>
          <w:szCs w:val="32"/>
          <w:highlight w:val="none"/>
        </w:rPr>
        <w:t>报告；审议批准监事会的</w:t>
      </w:r>
      <w:r>
        <w:rPr>
          <w:rFonts w:hint="eastAsia" w:ascii="仿宋_GB2312" w:hAnsi="仿宋_GB2312" w:eastAsia="仿宋_GB2312" w:cs="仿宋_GB2312"/>
          <w:sz w:val="32"/>
          <w:szCs w:val="32"/>
          <w:highlight w:val="none"/>
          <w:lang w:val="en-US" w:eastAsia="zh-CN"/>
        </w:rPr>
        <w:t>工作</w:t>
      </w:r>
      <w:r>
        <w:rPr>
          <w:rFonts w:hint="eastAsia" w:ascii="仿宋_GB2312" w:hAnsi="仿宋_GB2312" w:eastAsia="仿宋_GB2312" w:cs="仿宋_GB2312"/>
          <w:sz w:val="32"/>
          <w:szCs w:val="32"/>
          <w:highlight w:val="none"/>
        </w:rPr>
        <w:t>报告；</w:t>
      </w:r>
      <w:r>
        <w:rPr>
          <w:rFonts w:hint="eastAsia" w:ascii="仿宋_GB2312" w:hAnsi="仿宋_GB2312" w:eastAsia="仿宋_GB2312" w:cs="仿宋_GB2312"/>
          <w:sz w:val="32"/>
          <w:szCs w:val="32"/>
          <w:highlight w:val="none"/>
          <w:lang w:val="en-US" w:eastAsia="zh-CN"/>
        </w:rPr>
        <w:t>对</w:t>
      </w:r>
      <w:r>
        <w:rPr>
          <w:rFonts w:hint="eastAsia" w:ascii="仿宋_GB2312" w:hAnsi="仿宋_GB2312" w:eastAsia="仿宋_GB2312" w:cs="仿宋_GB2312"/>
          <w:sz w:val="32"/>
          <w:szCs w:val="32"/>
          <w:highlight w:val="none"/>
        </w:rPr>
        <w:t>公司合并、分立、解散、清算、申请破产、变更公司形式等事项</w:t>
      </w:r>
      <w:r>
        <w:rPr>
          <w:rFonts w:hint="eastAsia" w:ascii="仿宋_GB2312" w:hAnsi="仿宋_GB2312" w:eastAsia="仿宋_GB2312" w:cs="仿宋_GB2312"/>
          <w:sz w:val="32"/>
          <w:szCs w:val="32"/>
          <w:highlight w:val="none"/>
          <w:lang w:val="en-US" w:eastAsia="zh-CN"/>
        </w:rPr>
        <w:t>作出决议</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lang w:val="en-US" w:eastAsia="zh-CN"/>
        </w:rPr>
        <w:t>审议批准股东会、董事会和监事会议事规则；</w:t>
      </w:r>
      <w:r>
        <w:rPr>
          <w:rFonts w:hint="eastAsia" w:ascii="仿宋_GB2312" w:hAnsi="仿宋_GB2312" w:eastAsia="仿宋_GB2312" w:cs="仿宋_GB2312"/>
          <w:sz w:val="32"/>
          <w:szCs w:val="32"/>
          <w:highlight w:val="none"/>
        </w:rPr>
        <w:t>批准公司重大财务事项和重大会计政策、会计估计变更方案</w:t>
      </w:r>
      <w:r>
        <w:rPr>
          <w:rFonts w:hint="eastAsia" w:ascii="仿宋_GB2312" w:hAnsi="仿宋_GB2312" w:eastAsia="仿宋_GB2312" w:cs="仿宋_GB2312"/>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rPr>
      </w:pPr>
      <w:bookmarkStart w:id="24" w:name="bookmark22"/>
      <w:bookmarkEnd w:id="24"/>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rPr>
        <w:t>股东会会议召开情况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zh-CN" w:eastAsia="zh-CN"/>
        </w:rPr>
        <w:t>2022</w:t>
      </w:r>
      <w:r>
        <w:rPr>
          <w:rFonts w:hint="eastAsia" w:ascii="仿宋_GB2312" w:hAnsi="仿宋_GB2312" w:eastAsia="仿宋_GB2312" w:cs="仿宋_GB2312"/>
          <w:sz w:val="32"/>
          <w:szCs w:val="32"/>
          <w:highlight w:val="none"/>
        </w:rPr>
        <w:t>年度，公司共召开</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次股东会，会议频次及召开程序均符合法规和监管要求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具体情况如下表：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highlight w:val="none"/>
          <w:lang w:val="en-US" w:eastAsia="zh-CN"/>
        </w:rPr>
      </w:pPr>
    </w:p>
    <w:tbl>
      <w:tblPr>
        <w:tblStyle w:val="8"/>
        <w:tblW w:w="100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163"/>
        <w:gridCol w:w="1935"/>
        <w:gridCol w:w="1656"/>
        <w:gridCol w:w="1536"/>
        <w:gridCol w:w="1488"/>
        <w:gridCol w:w="1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19"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spacing w:val="0"/>
                <w:w w:val="100"/>
                <w:kern w:val="0"/>
                <w:position w:val="0"/>
                <w:sz w:val="21"/>
                <w:szCs w:val="21"/>
                <w:highlight w:val="none"/>
                <w:u w:val="none"/>
                <w:shd w:val="clear" w:color="auto" w:fill="auto"/>
                <w:lang w:val="en-US" w:eastAsia="zh-CN" w:bidi="ar"/>
              </w:rPr>
              <w:t>序号</w:t>
            </w:r>
          </w:p>
        </w:tc>
        <w:tc>
          <w:tcPr>
            <w:tcW w:w="116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spacing w:val="0"/>
                <w:w w:val="100"/>
                <w:kern w:val="0"/>
                <w:position w:val="0"/>
                <w:sz w:val="21"/>
                <w:szCs w:val="21"/>
                <w:highlight w:val="none"/>
                <w:u w:val="none"/>
                <w:shd w:val="clear" w:color="auto" w:fill="auto"/>
                <w:lang w:val="en-US" w:eastAsia="zh-CN" w:bidi="ar"/>
              </w:rPr>
              <w:t>会议时间</w:t>
            </w:r>
          </w:p>
        </w:tc>
        <w:tc>
          <w:tcPr>
            <w:tcW w:w="193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spacing w:val="0"/>
                <w:w w:val="100"/>
                <w:kern w:val="0"/>
                <w:position w:val="0"/>
                <w:sz w:val="21"/>
                <w:szCs w:val="21"/>
                <w:highlight w:val="none"/>
                <w:u w:val="none"/>
                <w:shd w:val="clear" w:color="auto" w:fill="auto"/>
                <w:lang w:val="en-US" w:eastAsia="zh-CN" w:bidi="ar"/>
              </w:rPr>
              <w:t>会议地点</w:t>
            </w:r>
          </w:p>
        </w:tc>
        <w:tc>
          <w:tcPr>
            <w:tcW w:w="165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spacing w:val="0"/>
                <w:w w:val="100"/>
                <w:kern w:val="0"/>
                <w:position w:val="0"/>
                <w:sz w:val="21"/>
                <w:szCs w:val="21"/>
                <w:highlight w:val="none"/>
                <w:u w:val="none"/>
                <w:shd w:val="clear" w:color="auto" w:fill="auto"/>
                <w:lang w:val="en-US" w:eastAsia="zh-CN" w:bidi="ar"/>
              </w:rPr>
              <w:t>参会情况</w:t>
            </w:r>
          </w:p>
        </w:tc>
        <w:tc>
          <w:tcPr>
            <w:tcW w:w="153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spacing w:val="0"/>
                <w:w w:val="100"/>
                <w:kern w:val="0"/>
                <w:position w:val="0"/>
                <w:sz w:val="21"/>
                <w:szCs w:val="21"/>
                <w:highlight w:val="none"/>
                <w:u w:val="none"/>
                <w:shd w:val="clear" w:color="auto" w:fill="auto"/>
                <w:lang w:val="en-US" w:eastAsia="zh-CN" w:bidi="ar"/>
              </w:rPr>
              <w:t>类别</w:t>
            </w:r>
          </w:p>
        </w:tc>
        <w:tc>
          <w:tcPr>
            <w:tcW w:w="148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spacing w:val="0"/>
                <w:w w:val="100"/>
                <w:kern w:val="0"/>
                <w:position w:val="0"/>
                <w:sz w:val="21"/>
                <w:szCs w:val="21"/>
                <w:highlight w:val="none"/>
                <w:u w:val="none"/>
                <w:shd w:val="clear" w:color="auto" w:fill="auto"/>
                <w:lang w:val="en-US" w:eastAsia="zh-CN" w:bidi="ar"/>
              </w:rPr>
              <w:t>审议议案数量</w:t>
            </w:r>
          </w:p>
        </w:tc>
        <w:tc>
          <w:tcPr>
            <w:tcW w:w="1512" w:type="dxa"/>
            <w:tcBorders>
              <w:left w:val="single" w:color="000000" w:sz="4" w:space="0"/>
              <w:bottom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spacing w:val="0"/>
                <w:w w:val="100"/>
                <w:kern w:val="0"/>
                <w:position w:val="0"/>
                <w:sz w:val="21"/>
                <w:szCs w:val="21"/>
                <w:highlight w:val="none"/>
                <w:u w:val="none"/>
                <w:shd w:val="clear" w:color="auto" w:fill="auto"/>
                <w:lang w:val="en-US" w:eastAsia="zh-CN" w:bidi="ar"/>
              </w:rPr>
              <w:t>表决情况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jc w:val="center"/>
        </w:trPr>
        <w:tc>
          <w:tcPr>
            <w:tcW w:w="71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1</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2022.5.27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鞍钢财务公司四楼会议室</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全体股东出席</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2022年度股东会</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8</w:t>
            </w:r>
          </w:p>
        </w:tc>
        <w:tc>
          <w:tcPr>
            <w:tcW w:w="151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全体通过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jc w:val="center"/>
        </w:trPr>
        <w:tc>
          <w:tcPr>
            <w:tcW w:w="719" w:type="dxa"/>
            <w:tcBorders>
              <w:top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2</w:t>
            </w:r>
          </w:p>
        </w:tc>
        <w:tc>
          <w:tcPr>
            <w:tcW w:w="116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2022.9.27</w:t>
            </w:r>
          </w:p>
        </w:tc>
        <w:tc>
          <w:tcPr>
            <w:tcW w:w="193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鞍钢财务公司四楼会议室</w:t>
            </w:r>
          </w:p>
        </w:tc>
        <w:tc>
          <w:tcPr>
            <w:tcW w:w="165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全体股东出席</w:t>
            </w:r>
          </w:p>
        </w:tc>
        <w:tc>
          <w:tcPr>
            <w:tcW w:w="153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2022年第一次临时股东会</w:t>
            </w:r>
          </w:p>
        </w:tc>
        <w:tc>
          <w:tcPr>
            <w:tcW w:w="148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4</w:t>
            </w:r>
          </w:p>
        </w:tc>
        <w:tc>
          <w:tcPr>
            <w:tcW w:w="1512" w:type="dxa"/>
            <w:tcBorders>
              <w:top w:val="single" w:color="000000" w:sz="4" w:space="0"/>
              <w:lef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全体通过</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highlight w:val="none"/>
        </w:rPr>
      </w:pPr>
      <w:bookmarkStart w:id="25" w:name="bookmark25"/>
      <w:bookmarkStart w:id="26" w:name="bookmark24"/>
      <w:bookmarkStart w:id="27" w:name="bookmark23"/>
      <w:r>
        <w:rPr>
          <w:rFonts w:hint="eastAsia" w:ascii="楷体_GB2312" w:hAnsi="楷体_GB2312" w:eastAsia="楷体_GB2312" w:cs="楷体_GB2312"/>
          <w:b/>
          <w:bCs/>
          <w:sz w:val="32"/>
          <w:szCs w:val="32"/>
          <w:highlight w:val="none"/>
        </w:rPr>
        <w:t>（四）董事会职责</w:t>
      </w: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lang w:val="en-US" w:eastAsia="zh-CN"/>
        </w:rPr>
        <w:t>人员构成</w:t>
      </w:r>
      <w:r>
        <w:rPr>
          <w:rFonts w:hint="eastAsia" w:ascii="楷体_GB2312" w:hAnsi="楷体_GB2312" w:eastAsia="楷体_GB2312" w:cs="楷体_GB2312"/>
          <w:b/>
          <w:bCs/>
          <w:sz w:val="32"/>
          <w:szCs w:val="32"/>
          <w:highlight w:val="none"/>
        </w:rPr>
        <w:t>及会议召开情况</w:t>
      </w:r>
      <w:bookmarkEnd w:id="25"/>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highlight w:val="none"/>
        </w:rPr>
      </w:pPr>
      <w:bookmarkStart w:id="28" w:name="bookmark26"/>
      <w:r>
        <w:rPr>
          <w:rFonts w:hint="eastAsia" w:ascii="仿宋_GB2312" w:hAnsi="仿宋_GB2312" w:eastAsia="仿宋_GB2312" w:cs="仿宋_GB2312"/>
          <w:b/>
          <w:bCs/>
          <w:sz w:val="32"/>
          <w:szCs w:val="32"/>
          <w:highlight w:val="none"/>
          <w:lang w:val="en-US" w:eastAsia="en-US"/>
        </w:rPr>
        <w:t>1.</w:t>
      </w:r>
      <w:r>
        <w:rPr>
          <w:rFonts w:hint="eastAsia" w:ascii="仿宋_GB2312" w:hAnsi="仿宋_GB2312" w:eastAsia="仿宋_GB2312" w:cs="仿宋_GB2312"/>
          <w:b/>
          <w:bCs/>
          <w:sz w:val="32"/>
          <w:szCs w:val="32"/>
          <w:highlight w:val="none"/>
        </w:rPr>
        <w:t>董事会职责</w:t>
      </w:r>
      <w:bookmarkEnd w:id="26"/>
      <w:bookmarkEnd w:id="27"/>
      <w:bookmarkEnd w:id="2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rPr>
      </w:pPr>
      <w:bookmarkStart w:id="29" w:name="bookmark54"/>
      <w:bookmarkEnd w:id="29"/>
      <w:r>
        <w:rPr>
          <w:rFonts w:hint="eastAsia" w:ascii="仿宋_GB2312" w:hAnsi="仿宋_GB2312" w:eastAsia="仿宋_GB2312" w:cs="仿宋_GB2312"/>
          <w:sz w:val="32"/>
          <w:szCs w:val="32"/>
          <w:highlight w:val="none"/>
          <w:lang w:val="en-US" w:eastAsia="zh-CN"/>
        </w:rPr>
        <w:t>主要负责</w:t>
      </w:r>
      <w:r>
        <w:rPr>
          <w:rFonts w:hint="eastAsia" w:ascii="仿宋_GB2312" w:hAnsi="仿宋_GB2312" w:eastAsia="仿宋_GB2312" w:cs="仿宋_GB2312"/>
          <w:sz w:val="32"/>
          <w:szCs w:val="32"/>
          <w:highlight w:val="none"/>
        </w:rPr>
        <w:t>制定贯彻党中央、国务院决策部署和落实</w:t>
      </w:r>
      <w:r>
        <w:rPr>
          <w:rFonts w:hint="eastAsia" w:ascii="仿宋_GB2312" w:hAnsi="仿宋_GB2312" w:eastAsia="仿宋_GB2312" w:cs="仿宋_GB2312"/>
          <w:sz w:val="32"/>
          <w:szCs w:val="32"/>
          <w:highlight w:val="none"/>
          <w:lang w:val="en-US" w:eastAsia="zh-CN"/>
        </w:rPr>
        <w:t>鞍钢集团</w:t>
      </w:r>
      <w:r>
        <w:rPr>
          <w:rFonts w:hint="eastAsia" w:ascii="仿宋_GB2312" w:hAnsi="仿宋_GB2312" w:eastAsia="仿宋_GB2312" w:cs="仿宋_GB2312"/>
          <w:sz w:val="32"/>
          <w:szCs w:val="32"/>
          <w:highlight w:val="none"/>
        </w:rPr>
        <w:t>发展战略重大举措的方案；制订公司战略和发展规划</w:t>
      </w:r>
      <w:r>
        <w:rPr>
          <w:rFonts w:hint="eastAsia" w:ascii="仿宋_GB2312" w:hAnsi="仿宋_GB2312" w:eastAsia="仿宋_GB2312" w:cs="仿宋_GB2312"/>
          <w:sz w:val="32"/>
          <w:szCs w:val="32"/>
          <w:highlight w:val="none"/>
          <w:lang w:val="en-US" w:eastAsia="zh-CN"/>
        </w:rPr>
        <w:t>并监督实施</w:t>
      </w:r>
      <w:r>
        <w:rPr>
          <w:rFonts w:hint="eastAsia" w:ascii="仿宋_GB2312" w:hAnsi="仿宋_GB2312" w:eastAsia="仿宋_GB2312" w:cs="仿宋_GB2312"/>
          <w:sz w:val="32"/>
          <w:szCs w:val="32"/>
          <w:highlight w:val="none"/>
        </w:rPr>
        <w:t>；制订公司年度投资计划，决定经营计划和投资方案；制订公司的年度财务预算和决算方案；制订公司的利润分配和弥补亏损方案；制订公司增加或者减少注册资本的方案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发行公司债券方案；制订公司</w:t>
      </w:r>
      <w:r>
        <w:rPr>
          <w:rFonts w:hint="eastAsia" w:ascii="仿宋_GB2312" w:hAnsi="仿宋_GB2312" w:eastAsia="仿宋_GB2312" w:cs="仿宋_GB2312"/>
          <w:sz w:val="32"/>
          <w:szCs w:val="32"/>
          <w:highlight w:val="none"/>
          <w:lang w:val="en-US" w:eastAsia="zh-CN"/>
        </w:rPr>
        <w:t>重大收购方案或</w:t>
      </w:r>
      <w:r>
        <w:rPr>
          <w:rFonts w:hint="eastAsia" w:ascii="仿宋_GB2312" w:hAnsi="仿宋_GB2312" w:eastAsia="仿宋_GB2312" w:cs="仿宋_GB2312"/>
          <w:sz w:val="32"/>
          <w:szCs w:val="32"/>
          <w:highlight w:val="none"/>
        </w:rPr>
        <w:t>合并、分立、解散或变更公司形式的方案；制订公司章程草案和公司章程的修改方案；</w:t>
      </w:r>
      <w:r>
        <w:rPr>
          <w:rFonts w:hint="eastAsia" w:ascii="仿宋_GB2312" w:hAnsi="仿宋_GB2312" w:eastAsia="仿宋_GB2312" w:cs="仿宋_GB2312"/>
          <w:sz w:val="32"/>
          <w:szCs w:val="32"/>
          <w:highlight w:val="none"/>
          <w:lang w:val="en-US" w:eastAsia="zh-CN"/>
        </w:rPr>
        <w:t>按照监管规定</w:t>
      </w:r>
      <w:r>
        <w:rPr>
          <w:rFonts w:hint="eastAsia" w:ascii="仿宋_GB2312" w:hAnsi="仿宋_GB2312" w:eastAsia="仿宋_GB2312" w:cs="仿宋_GB2312"/>
          <w:sz w:val="32"/>
          <w:szCs w:val="32"/>
          <w:highlight w:val="none"/>
        </w:rPr>
        <w:t>，聘任或解聘公司总经理，根据总经理的提名聘任或者解聘公司副总经理、总法律顾问等公司高级管理人员，根据董事长提名聘任或解聘董事会秘书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按照有关规定，决定高级管理人员的</w:t>
      </w:r>
      <w:r>
        <w:rPr>
          <w:rFonts w:hint="eastAsia" w:ascii="仿宋_GB2312" w:hAnsi="仿宋_GB2312" w:eastAsia="仿宋_GB2312" w:cs="仿宋_GB2312"/>
          <w:sz w:val="32"/>
          <w:szCs w:val="32"/>
          <w:highlight w:val="none"/>
          <w:lang w:val="en-US" w:eastAsia="zh-CN"/>
        </w:rPr>
        <w:t>报酬、奖惩事项，监督高级管理层履行职责等。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rPr>
        <w:t>董事会成员构成及其简历</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成员构成及简历截至2022年末，下同</w:t>
      </w:r>
      <w:r>
        <w:rPr>
          <w:rFonts w:hint="eastAsia" w:ascii="仿宋_GB2312" w:hAnsi="仿宋_GB2312" w:eastAsia="仿宋_GB2312" w:cs="仿宋_GB2312"/>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sz w:val="32"/>
          <w:szCs w:val="32"/>
          <w:highlight w:val="none"/>
          <w:lang w:eastAsia="zh-CN"/>
        </w:rPr>
      </w:pPr>
      <w:r>
        <w:rPr>
          <w:rFonts w:hint="eastAsia" w:ascii="仿宋_GB2312" w:hAnsi="Tahoma" w:eastAsia="仿宋_GB2312" w:cs="Tahoma"/>
          <w:b/>
          <w:bCs w:val="0"/>
          <w:snapToGrid w:val="0"/>
          <w:kern w:val="0"/>
          <w:sz w:val="32"/>
          <w:szCs w:val="32"/>
          <w:highlight w:val="none"/>
          <w:lang w:val="en-US" w:eastAsia="zh-CN"/>
        </w:rPr>
        <w:t>董事长：</w:t>
      </w:r>
      <w:r>
        <w:rPr>
          <w:rFonts w:hint="eastAsia" w:ascii="仿宋_GB2312" w:hAnsi="Tahoma" w:eastAsia="仿宋_GB2312" w:cs="Tahoma"/>
          <w:b w:val="0"/>
          <w:bCs/>
          <w:snapToGrid w:val="0"/>
          <w:kern w:val="0"/>
          <w:sz w:val="32"/>
          <w:szCs w:val="32"/>
          <w:highlight w:val="none"/>
        </w:rPr>
        <w:t>谢峰，男，1971年5月出生，湖北荆门人，中共党员，高级会计师、高级经济师、注册会计师。</w:t>
      </w:r>
      <w:r>
        <w:rPr>
          <w:rFonts w:hint="eastAsia" w:ascii="仿宋_GB2312" w:hAnsi="Tahoma" w:eastAsia="仿宋_GB2312" w:cs="Tahoma"/>
          <w:b w:val="0"/>
          <w:bCs/>
          <w:snapToGrid w:val="0"/>
          <w:kern w:val="0"/>
          <w:sz w:val="32"/>
          <w:szCs w:val="32"/>
          <w:highlight w:val="none"/>
          <w:lang w:val="en-US" w:eastAsia="zh-CN"/>
        </w:rPr>
        <w:t>曾在</w:t>
      </w:r>
      <w:r>
        <w:rPr>
          <w:rFonts w:ascii="仿宋_GB2312" w:hAnsi="Tahoma" w:eastAsia="仿宋_GB2312" w:cs="Tahoma"/>
          <w:b w:val="0"/>
          <w:bCs/>
          <w:snapToGrid w:val="0"/>
          <w:kern w:val="0"/>
          <w:sz w:val="32"/>
          <w:szCs w:val="32"/>
          <w:highlight w:val="none"/>
        </w:rPr>
        <w:t>中国工商银行</w:t>
      </w:r>
      <w:r>
        <w:rPr>
          <w:rFonts w:hint="eastAsia" w:ascii="仿宋_GB2312" w:hAnsi="Tahoma" w:eastAsia="仿宋_GB2312" w:cs="Tahoma"/>
          <w:b w:val="0"/>
          <w:bCs/>
          <w:snapToGrid w:val="0"/>
          <w:kern w:val="0"/>
          <w:sz w:val="32"/>
          <w:szCs w:val="32"/>
          <w:highlight w:val="none"/>
          <w:lang w:eastAsia="zh-CN"/>
        </w:rPr>
        <w:t>、</w:t>
      </w:r>
      <w:r>
        <w:rPr>
          <w:rFonts w:ascii="仿宋_GB2312" w:hAnsi="Tahoma" w:eastAsia="仿宋_GB2312" w:cs="Tahoma"/>
          <w:b w:val="0"/>
          <w:bCs/>
          <w:snapToGrid w:val="0"/>
          <w:kern w:val="0"/>
          <w:sz w:val="32"/>
          <w:szCs w:val="32"/>
          <w:highlight w:val="none"/>
        </w:rPr>
        <w:t>三峡财务有限责任公司</w:t>
      </w:r>
      <w:r>
        <w:rPr>
          <w:rFonts w:hint="eastAsia" w:ascii="仿宋_GB2312" w:hAnsi="Tahoma" w:eastAsia="仿宋_GB2312" w:cs="Tahoma"/>
          <w:b w:val="0"/>
          <w:bCs/>
          <w:snapToGrid w:val="0"/>
          <w:kern w:val="0"/>
          <w:sz w:val="32"/>
          <w:szCs w:val="32"/>
          <w:highlight w:val="none"/>
          <w:lang w:eastAsia="zh-CN"/>
        </w:rPr>
        <w:t>、</w:t>
      </w:r>
      <w:r>
        <w:rPr>
          <w:rFonts w:hint="eastAsia" w:ascii="仿宋_GB2312" w:hAnsi="Tahoma" w:eastAsia="仿宋_GB2312" w:cs="Tahoma"/>
          <w:b w:val="0"/>
          <w:bCs/>
          <w:snapToGrid w:val="0"/>
          <w:kern w:val="0"/>
          <w:sz w:val="32"/>
          <w:szCs w:val="32"/>
          <w:highlight w:val="none"/>
        </w:rPr>
        <w:t>中国长江电力股份有限公司</w:t>
      </w:r>
      <w:r>
        <w:rPr>
          <w:rFonts w:hint="eastAsia" w:ascii="仿宋_GB2312" w:hAnsi="Tahoma" w:eastAsia="仿宋_GB2312" w:cs="Tahoma"/>
          <w:b w:val="0"/>
          <w:bCs/>
          <w:snapToGrid w:val="0"/>
          <w:kern w:val="0"/>
          <w:sz w:val="32"/>
          <w:szCs w:val="32"/>
          <w:highlight w:val="none"/>
          <w:lang w:val="en-US" w:eastAsia="zh-CN"/>
        </w:rPr>
        <w:t>工作</w:t>
      </w:r>
      <w:r>
        <w:rPr>
          <w:rFonts w:hint="eastAsia" w:ascii="仿宋_GB2312" w:hAnsi="Tahoma" w:eastAsia="仿宋_GB2312" w:cs="Tahoma"/>
          <w:b w:val="0"/>
          <w:bCs/>
          <w:snapToGrid w:val="0"/>
          <w:kern w:val="0"/>
          <w:sz w:val="32"/>
          <w:szCs w:val="32"/>
          <w:highlight w:val="none"/>
        </w:rPr>
        <w:t>，</w:t>
      </w:r>
      <w:r>
        <w:rPr>
          <w:rFonts w:hint="eastAsia" w:ascii="仿宋_GB2312" w:hAnsi="Tahoma" w:eastAsia="仿宋_GB2312" w:cs="Tahoma"/>
          <w:b w:val="0"/>
          <w:bCs/>
          <w:snapToGrid w:val="0"/>
          <w:kern w:val="0"/>
          <w:sz w:val="32"/>
          <w:szCs w:val="32"/>
          <w:highlight w:val="none"/>
          <w:lang w:val="en-US" w:eastAsia="zh-CN"/>
        </w:rPr>
        <w:t>现</w:t>
      </w:r>
      <w:r>
        <w:rPr>
          <w:rFonts w:hint="eastAsia" w:ascii="仿宋_GB2312" w:hAnsi="Tahoma" w:eastAsia="仿宋_GB2312" w:cs="Tahoma"/>
          <w:b w:val="0"/>
          <w:bCs/>
          <w:snapToGrid w:val="0"/>
          <w:kern w:val="0"/>
          <w:sz w:val="32"/>
          <w:szCs w:val="32"/>
          <w:highlight w:val="none"/>
        </w:rPr>
        <w:t>任鞍钢集团有限公司党委常委、总会计师。</w:t>
      </w:r>
      <w:r>
        <w:rPr>
          <w:rFonts w:hint="eastAsia" w:ascii="仿宋_GB2312" w:hAnsi="Tahoma" w:eastAsia="仿宋_GB2312" w:cs="Tahoma"/>
          <w:b w:val="0"/>
          <w:bCs/>
          <w:snapToGrid w:val="0"/>
          <w:kern w:val="0"/>
          <w:sz w:val="32"/>
          <w:szCs w:val="32"/>
          <w:highlight w:val="none"/>
          <w:lang w:val="en-US" w:eastAsia="zh-CN"/>
        </w:rPr>
        <w:t>2021年5月12日，中国银行保险监督管理委员会辽宁监管局正式批复，核准谢峰鞍钢财务公司董事长任职资格。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董事：</w:t>
      </w:r>
      <w:r>
        <w:rPr>
          <w:rFonts w:hint="eastAsia" w:ascii="仿宋_GB2312" w:hAnsi="仿宋_GB2312" w:eastAsia="仿宋_GB2312" w:cs="仿宋_GB2312"/>
          <w:b w:val="0"/>
          <w:bCs/>
          <w:sz w:val="32"/>
          <w:szCs w:val="32"/>
          <w:highlight w:val="none"/>
          <w:lang w:val="en-US" w:eastAsia="zh-CN"/>
        </w:rPr>
        <w:t>都兴开，男，1967年6月出生，内蒙古赤峰人，中共党员，教授级高级会计师。曾在鞍钢铁运公司、鞍钢集团有限公司财会部、鞍钢财务公司、鞍钢集团有限公司财务运营部、鞍钢集团有限公司资本运营部工作。</w:t>
      </w:r>
      <w:r>
        <w:rPr>
          <w:rFonts w:hint="eastAsia" w:ascii="仿宋_GB2312" w:hAnsi="Tahoma" w:eastAsia="仿宋_GB2312" w:cs="Tahoma"/>
          <w:b w:val="0"/>
          <w:bCs/>
          <w:snapToGrid w:val="0"/>
          <w:kern w:val="0"/>
          <w:sz w:val="32"/>
          <w:szCs w:val="32"/>
          <w:highlight w:val="none"/>
          <w:lang w:val="en-US" w:eastAsia="zh-CN"/>
        </w:rPr>
        <w:t>2021年12月3日，中国银行保险监督管理委员会辽宁监管局正式批复，核准都兴开鞍钢财务公司董事任职资格。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val="0"/>
          <w:sz w:val="32"/>
          <w:szCs w:val="32"/>
          <w:highlight w:val="none"/>
          <w:lang w:val="en-US" w:eastAsia="zh-CN"/>
        </w:rPr>
        <w:t>董事：</w:t>
      </w:r>
      <w:r>
        <w:rPr>
          <w:rFonts w:hint="eastAsia" w:ascii="仿宋_GB2312" w:hAnsi="仿宋_GB2312" w:eastAsia="仿宋_GB2312" w:cs="仿宋_GB2312"/>
          <w:bCs/>
          <w:snapToGrid w:val="0"/>
          <w:kern w:val="0"/>
          <w:sz w:val="32"/>
          <w:szCs w:val="32"/>
          <w:highlight w:val="none"/>
        </w:rPr>
        <w:t>张万斌，男，1962年10月出生，辽宁鞍山人，中共党员，高级会计师。</w:t>
      </w:r>
      <w:r>
        <w:rPr>
          <w:rFonts w:hint="eastAsia" w:ascii="仿宋_GB2312" w:hAnsi="仿宋_GB2312" w:eastAsia="仿宋_GB2312" w:cs="仿宋_GB2312"/>
          <w:bCs/>
          <w:snapToGrid w:val="0"/>
          <w:kern w:val="0"/>
          <w:sz w:val="32"/>
          <w:szCs w:val="32"/>
          <w:highlight w:val="none"/>
          <w:lang w:val="en-US" w:eastAsia="zh-CN"/>
        </w:rPr>
        <w:t>曾在</w:t>
      </w:r>
      <w:r>
        <w:rPr>
          <w:rFonts w:hint="eastAsia" w:ascii="仿宋_GB2312" w:hAnsi="仿宋_GB2312" w:eastAsia="仿宋_GB2312" w:cs="仿宋_GB2312"/>
          <w:bCs/>
          <w:snapToGrid w:val="0"/>
          <w:kern w:val="0"/>
          <w:sz w:val="32"/>
          <w:szCs w:val="32"/>
          <w:highlight w:val="none"/>
        </w:rPr>
        <w:t>鞍钢新轧钢股份公司</w:t>
      </w:r>
      <w:r>
        <w:rPr>
          <w:rFonts w:hint="eastAsia" w:ascii="仿宋_GB2312" w:hAnsi="仿宋_GB2312" w:eastAsia="仿宋_GB2312" w:cs="仿宋_GB2312"/>
          <w:bCs/>
          <w:snapToGrid w:val="0"/>
          <w:kern w:val="0"/>
          <w:sz w:val="32"/>
          <w:szCs w:val="32"/>
          <w:highlight w:val="none"/>
          <w:lang w:eastAsia="zh-CN"/>
        </w:rPr>
        <w:t>、</w:t>
      </w:r>
      <w:r>
        <w:rPr>
          <w:rFonts w:hint="eastAsia" w:ascii="仿宋_GB2312" w:hAnsi="仿宋_GB2312" w:eastAsia="仿宋_GB2312" w:cs="仿宋_GB2312"/>
          <w:bCs/>
          <w:snapToGrid w:val="0"/>
          <w:kern w:val="0"/>
          <w:sz w:val="32"/>
          <w:szCs w:val="32"/>
          <w:highlight w:val="none"/>
        </w:rPr>
        <w:t>鞍钢股份有限公司计划财务部</w:t>
      </w:r>
      <w:r>
        <w:rPr>
          <w:rFonts w:hint="eastAsia" w:ascii="仿宋_GB2312" w:hAnsi="仿宋_GB2312" w:eastAsia="仿宋_GB2312" w:cs="仿宋_GB2312"/>
          <w:bCs/>
          <w:snapToGrid w:val="0"/>
          <w:kern w:val="0"/>
          <w:sz w:val="32"/>
          <w:szCs w:val="32"/>
          <w:highlight w:val="none"/>
          <w:lang w:eastAsia="zh-CN"/>
        </w:rPr>
        <w:t>、</w:t>
      </w:r>
      <w:r>
        <w:rPr>
          <w:rFonts w:hint="eastAsia" w:ascii="仿宋_GB2312" w:hAnsi="仿宋_GB2312" w:eastAsia="仿宋_GB2312" w:cs="仿宋_GB2312"/>
          <w:bCs/>
          <w:snapToGrid w:val="0"/>
          <w:kern w:val="0"/>
          <w:sz w:val="32"/>
          <w:szCs w:val="32"/>
          <w:highlight w:val="none"/>
        </w:rPr>
        <w:t>鞍钢集团公司财务运营部</w:t>
      </w:r>
      <w:r>
        <w:rPr>
          <w:rFonts w:hint="eastAsia" w:ascii="仿宋_GB2312" w:hAnsi="仿宋_GB2312" w:eastAsia="仿宋_GB2312" w:cs="仿宋_GB2312"/>
          <w:bCs/>
          <w:snapToGrid w:val="0"/>
          <w:kern w:val="0"/>
          <w:sz w:val="32"/>
          <w:szCs w:val="32"/>
          <w:highlight w:val="none"/>
          <w:lang w:eastAsia="zh-CN"/>
        </w:rPr>
        <w:t>、</w:t>
      </w:r>
      <w:r>
        <w:rPr>
          <w:rFonts w:hint="eastAsia" w:ascii="仿宋_GB2312" w:hAnsi="仿宋_GB2312" w:eastAsia="仿宋_GB2312" w:cs="仿宋_GB2312"/>
          <w:bCs/>
          <w:snapToGrid w:val="0"/>
          <w:kern w:val="0"/>
          <w:sz w:val="32"/>
          <w:szCs w:val="32"/>
          <w:highlight w:val="none"/>
          <w:lang w:val="en-US" w:eastAsia="zh-CN"/>
        </w:rPr>
        <w:t>鞍钢财务公司</w:t>
      </w:r>
      <w:r>
        <w:rPr>
          <w:rFonts w:hint="eastAsia" w:ascii="仿宋_GB2312" w:hAnsi="仿宋_GB2312" w:eastAsia="仿宋_GB2312" w:cs="仿宋_GB2312"/>
          <w:bCs/>
          <w:snapToGrid w:val="0"/>
          <w:kern w:val="0"/>
          <w:sz w:val="32"/>
          <w:szCs w:val="32"/>
          <w:highlight w:val="none"/>
          <w:lang w:eastAsia="zh-CN"/>
        </w:rPr>
        <w:t>、</w:t>
      </w:r>
      <w:r>
        <w:rPr>
          <w:rFonts w:hint="eastAsia" w:ascii="仿宋_GB2312" w:hAnsi="仿宋_GB2312" w:eastAsia="仿宋_GB2312" w:cs="仿宋_GB2312"/>
          <w:bCs/>
          <w:snapToGrid w:val="0"/>
          <w:kern w:val="0"/>
          <w:sz w:val="32"/>
          <w:szCs w:val="32"/>
          <w:highlight w:val="none"/>
        </w:rPr>
        <w:t>鞍钢集团资本控股有限公司</w:t>
      </w:r>
      <w:r>
        <w:rPr>
          <w:rFonts w:hint="eastAsia" w:ascii="仿宋_GB2312" w:hAnsi="仿宋_GB2312" w:eastAsia="仿宋_GB2312" w:cs="仿宋_GB2312"/>
          <w:bCs/>
          <w:snapToGrid w:val="0"/>
          <w:kern w:val="0"/>
          <w:sz w:val="32"/>
          <w:szCs w:val="32"/>
          <w:highlight w:val="none"/>
          <w:lang w:eastAsia="zh-CN"/>
        </w:rPr>
        <w:t>、</w:t>
      </w:r>
      <w:r>
        <w:rPr>
          <w:rFonts w:hint="eastAsia" w:ascii="仿宋_GB2312" w:hAnsi="仿宋_GB2312" w:eastAsia="仿宋_GB2312" w:cs="仿宋_GB2312"/>
          <w:bCs/>
          <w:snapToGrid w:val="0"/>
          <w:kern w:val="0"/>
          <w:sz w:val="32"/>
          <w:szCs w:val="32"/>
          <w:highlight w:val="none"/>
        </w:rPr>
        <w:t>鞍钢集团有限公司财务部</w:t>
      </w:r>
      <w:r>
        <w:rPr>
          <w:rFonts w:hint="eastAsia" w:ascii="仿宋_GB2312" w:hAnsi="仿宋_GB2312" w:eastAsia="仿宋_GB2312" w:cs="仿宋_GB2312"/>
          <w:bCs/>
          <w:snapToGrid w:val="0"/>
          <w:kern w:val="0"/>
          <w:sz w:val="32"/>
          <w:szCs w:val="32"/>
          <w:highlight w:val="none"/>
          <w:lang w:val="en-US" w:eastAsia="zh-CN"/>
        </w:rPr>
        <w:t>工作</w:t>
      </w:r>
      <w:r>
        <w:rPr>
          <w:rFonts w:hint="eastAsia" w:ascii="仿宋_GB2312" w:hAnsi="仿宋_GB2312" w:eastAsia="仿宋_GB2312" w:cs="仿宋_GB2312"/>
          <w:bCs/>
          <w:snapToGrid w:val="0"/>
          <w:kern w:val="0"/>
          <w:sz w:val="32"/>
          <w:szCs w:val="32"/>
          <w:highlight w:val="none"/>
          <w:lang w:eastAsia="zh-CN"/>
        </w:rPr>
        <w:t>。</w:t>
      </w:r>
      <w:r>
        <w:rPr>
          <w:rFonts w:hint="eastAsia" w:ascii="仿宋_GB2312" w:hAnsi="Tahoma" w:eastAsia="仿宋_GB2312" w:cs="Tahoma"/>
          <w:b w:val="0"/>
          <w:bCs/>
          <w:snapToGrid w:val="0"/>
          <w:kern w:val="0"/>
          <w:sz w:val="32"/>
          <w:szCs w:val="32"/>
          <w:highlight w:val="none"/>
          <w:lang w:val="en-US" w:eastAsia="zh-CN"/>
        </w:rPr>
        <w:t>2021年12月3日，中国银行保险监督管理委员会辽宁监管局正式批复，核准张万斌鞍钢财务公司董事任职资格。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董事：</w:t>
      </w:r>
      <w:r>
        <w:rPr>
          <w:rFonts w:hint="eastAsia" w:ascii="仿宋_GB2312" w:hAnsi="仿宋_GB2312" w:eastAsia="仿宋_GB2312" w:cs="仿宋_GB2312"/>
          <w:sz w:val="32"/>
          <w:szCs w:val="32"/>
          <w:highlight w:val="none"/>
          <w:lang w:val="en-US" w:eastAsia="zh-CN"/>
        </w:rPr>
        <w:t>王保军，男，1967年2月出生，陕西汉中人，中共党员，高级会计师。曾在攀钢氧气厂财务科、攀钢（集团）公司监察审计处、攀钢（集团）公司审计部、攀枝花新钢钒股份有限公司、攀钢集团钢铁钒钛股份有限公司、鞍钢集团有限公司审计部工作。现任鞍钢股份有限公司总会计师。</w:t>
      </w:r>
      <w:r>
        <w:rPr>
          <w:rFonts w:hint="eastAsia" w:ascii="仿宋_GB2312" w:hAnsi="Tahoma" w:eastAsia="仿宋_GB2312" w:cs="Tahoma"/>
          <w:b w:val="0"/>
          <w:bCs/>
          <w:snapToGrid w:val="0"/>
          <w:kern w:val="0"/>
          <w:sz w:val="32"/>
          <w:szCs w:val="32"/>
          <w:highlight w:val="none"/>
          <w:lang w:val="en-US" w:eastAsia="zh-CN"/>
        </w:rPr>
        <w:t>2019年1月25日，中国银行保险监督管理委员会辽宁监管局正式批复，核准王保军鞍钢财务公司董事任职资格。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val="0"/>
          <w:snapToGrid w:val="0"/>
          <w:kern w:val="0"/>
          <w:sz w:val="32"/>
          <w:szCs w:val="32"/>
          <w:highlight w:val="none"/>
          <w:lang w:val="en-US" w:eastAsia="zh-CN"/>
        </w:rPr>
        <w:t>董事：</w:t>
      </w:r>
      <w:r>
        <w:rPr>
          <w:rFonts w:hint="eastAsia" w:ascii="仿宋_GB2312" w:hAnsi="仿宋" w:eastAsia="仿宋_GB2312" w:cs="仿宋_GB2312"/>
          <w:color w:val="000000"/>
          <w:sz w:val="32"/>
          <w:szCs w:val="32"/>
          <w:highlight w:val="none"/>
        </w:rPr>
        <w:t>张景凡，男，1965年1月出生，辽宁辽阳</w:t>
      </w:r>
      <w:r>
        <w:rPr>
          <w:rFonts w:hint="eastAsia" w:ascii="仿宋_GB2312" w:hAnsi="仿宋" w:eastAsia="仿宋_GB2312" w:cs="仿宋_GB2312"/>
          <w:sz w:val="32"/>
          <w:szCs w:val="32"/>
          <w:highlight w:val="none"/>
        </w:rPr>
        <w:t>人</w:t>
      </w:r>
      <w:r>
        <w:rPr>
          <w:rFonts w:hint="eastAsia" w:ascii="仿宋_GB2312" w:hAnsi="仿宋" w:eastAsia="仿宋_GB2312" w:cs="仿宋_GB2312"/>
          <w:color w:val="000000"/>
          <w:sz w:val="32"/>
          <w:szCs w:val="32"/>
          <w:highlight w:val="none"/>
        </w:rPr>
        <w:t>，中共党员，</w:t>
      </w:r>
      <w:r>
        <w:rPr>
          <w:rFonts w:hint="eastAsia" w:ascii="仿宋_GB2312" w:hAnsi="仿宋" w:eastAsia="仿宋_GB2312" w:cs="仿宋_GB2312"/>
          <w:color w:val="000000"/>
          <w:sz w:val="32"/>
          <w:szCs w:val="32"/>
          <w:highlight w:val="none"/>
          <w:lang w:val="en-US" w:eastAsia="zh-CN"/>
        </w:rPr>
        <w:t>教授级高级会计师。曾在鞍钢机械制造灵山锻造厂、</w:t>
      </w:r>
      <w:r>
        <w:rPr>
          <w:rFonts w:hint="eastAsia" w:ascii="仿宋_GB2312" w:hAnsi="仿宋" w:eastAsia="仿宋_GB2312" w:cs="仿宋_GB2312"/>
          <w:color w:val="000000"/>
          <w:sz w:val="32"/>
          <w:szCs w:val="32"/>
          <w:highlight w:val="none"/>
        </w:rPr>
        <w:t>鞍钢</w:t>
      </w:r>
      <w:r>
        <w:rPr>
          <w:rFonts w:hint="eastAsia" w:ascii="仿宋_GB2312" w:hAnsi="仿宋" w:eastAsia="仿宋_GB2312" w:cs="仿宋_GB2312"/>
          <w:color w:val="000000"/>
          <w:sz w:val="32"/>
          <w:szCs w:val="32"/>
          <w:highlight w:val="none"/>
          <w:lang w:val="en-US" w:eastAsia="zh-CN"/>
        </w:rPr>
        <w:t>财务会计部、鞍钢股份有限公司计划财务部、</w:t>
      </w:r>
      <w:r>
        <w:rPr>
          <w:rFonts w:hint="eastAsia" w:ascii="仿宋_GB2312" w:hAnsi="仿宋" w:eastAsia="仿宋_GB2312" w:cs="仿宋_GB2312"/>
          <w:color w:val="000000"/>
          <w:sz w:val="32"/>
          <w:szCs w:val="32"/>
          <w:highlight w:val="none"/>
        </w:rPr>
        <w:t>攀钢集团钢铁钒钛股份有限公司财务部</w:t>
      </w:r>
      <w:r>
        <w:rPr>
          <w:rFonts w:hint="eastAsia" w:ascii="仿宋_GB2312" w:hAnsi="仿宋" w:eastAsia="仿宋_GB2312" w:cs="仿宋_GB2312"/>
          <w:color w:val="000000"/>
          <w:sz w:val="32"/>
          <w:szCs w:val="32"/>
          <w:highlight w:val="none"/>
          <w:lang w:eastAsia="zh-CN"/>
        </w:rPr>
        <w:t>、</w:t>
      </w:r>
      <w:r>
        <w:rPr>
          <w:rFonts w:hint="eastAsia" w:ascii="仿宋_GB2312" w:hAnsi="仿宋" w:eastAsia="仿宋_GB2312" w:cs="仿宋_GB2312"/>
          <w:color w:val="000000"/>
          <w:sz w:val="32"/>
          <w:szCs w:val="32"/>
          <w:highlight w:val="none"/>
        </w:rPr>
        <w:t>鞍钢股份有限公司</w:t>
      </w:r>
      <w:r>
        <w:rPr>
          <w:rFonts w:hint="eastAsia" w:ascii="仿宋_GB2312" w:hAnsi="仿宋" w:eastAsia="仿宋_GB2312" w:cs="仿宋_GB2312"/>
          <w:color w:val="000000"/>
          <w:sz w:val="32"/>
          <w:szCs w:val="32"/>
          <w:highlight w:val="none"/>
          <w:lang w:eastAsia="zh-CN"/>
        </w:rPr>
        <w:t>、</w:t>
      </w:r>
      <w:r>
        <w:rPr>
          <w:rFonts w:hint="eastAsia" w:ascii="仿宋_GB2312" w:hAnsi="仿宋" w:eastAsia="仿宋_GB2312" w:cs="仿宋_GB2312"/>
          <w:color w:val="000000"/>
          <w:sz w:val="32"/>
          <w:szCs w:val="32"/>
          <w:highlight w:val="none"/>
        </w:rPr>
        <w:t>攀钢集团有限公司</w:t>
      </w:r>
      <w:r>
        <w:rPr>
          <w:rFonts w:hint="eastAsia" w:ascii="仿宋_GB2312" w:hAnsi="仿宋" w:eastAsia="仿宋_GB2312" w:cs="仿宋_GB2312"/>
          <w:color w:val="000000"/>
          <w:sz w:val="32"/>
          <w:szCs w:val="32"/>
          <w:highlight w:val="none"/>
          <w:lang w:eastAsia="zh-CN"/>
        </w:rPr>
        <w:t>、</w:t>
      </w:r>
      <w:r>
        <w:rPr>
          <w:rFonts w:hint="eastAsia" w:ascii="仿宋_GB2312" w:hAnsi="仿宋" w:eastAsia="仿宋_GB2312" w:cs="仿宋_GB2312"/>
          <w:color w:val="000000"/>
          <w:sz w:val="32"/>
          <w:szCs w:val="32"/>
          <w:highlight w:val="none"/>
          <w:lang w:val="en-US" w:eastAsia="zh-CN"/>
        </w:rPr>
        <w:t>本钢集团有限公司工作。现任鞍钢集团有限公司财务部总经理</w:t>
      </w:r>
      <w:r>
        <w:rPr>
          <w:rFonts w:hint="eastAsia" w:ascii="仿宋_GB2312" w:hAnsi="仿宋" w:eastAsia="仿宋_GB2312" w:cs="仿宋_GB2312"/>
          <w:color w:val="000000"/>
          <w:sz w:val="32"/>
          <w:szCs w:val="32"/>
          <w:highlight w:val="none"/>
        </w:rPr>
        <w:t>。</w:t>
      </w:r>
      <w:r>
        <w:rPr>
          <w:rFonts w:hint="eastAsia" w:ascii="仿宋_GB2312" w:hAnsi="Tahoma" w:eastAsia="仿宋_GB2312" w:cs="Tahoma"/>
          <w:b w:val="0"/>
          <w:bCs/>
          <w:snapToGrid w:val="0"/>
          <w:kern w:val="0"/>
          <w:sz w:val="32"/>
          <w:szCs w:val="32"/>
          <w:highlight w:val="none"/>
          <w:lang w:val="en-US" w:eastAsia="zh-CN"/>
        </w:rPr>
        <w:t>2020年8月17日，中国银行保险监督管理委员会辽宁监管局正式批复，核准张景凡鞍钢财务公司董事任职资格。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b/>
          <w:bCs/>
          <w:sz w:val="32"/>
          <w:szCs w:val="32"/>
          <w:highlight w:val="none"/>
          <w:lang w:val="en-US" w:eastAsia="zh-CN"/>
        </w:rPr>
        <w:t>董事：</w:t>
      </w:r>
      <w:r>
        <w:rPr>
          <w:rFonts w:hint="eastAsia" w:ascii="仿宋_GB2312" w:hAnsi="仿宋_GB2312" w:eastAsia="仿宋_GB2312" w:cs="仿宋_GB2312"/>
          <w:sz w:val="32"/>
          <w:szCs w:val="32"/>
          <w:highlight w:val="none"/>
          <w:lang w:val="en-US" w:eastAsia="zh-CN"/>
        </w:rPr>
        <w:t>李之奇，男，1966年9月出生，辽宁海城人，中共党员，正高级经济师。曾在鞍钢矿山公司供应处、鞍山钢铁集团公司矿山公司、鞍钢集团鞍山矿业公司附属企业、供销公司、鞍钢集团矿业有限公司工作，现任鞍钢财务公司</w:t>
      </w:r>
      <w:r>
        <w:rPr>
          <w:rFonts w:hint="eastAsia" w:ascii="仿宋_GB2312" w:hAnsi="仿宋_GB2312" w:eastAsia="仿宋_GB2312" w:cs="仿宋_GB2312"/>
          <w:sz w:val="32"/>
          <w:szCs w:val="32"/>
          <w:highlight w:val="none"/>
          <w:lang w:val="zh-CN"/>
        </w:rPr>
        <w:t>党委书记、董事、总经理。</w:t>
      </w:r>
      <w:r>
        <w:rPr>
          <w:rFonts w:hint="eastAsia" w:ascii="仿宋_GB2312" w:hAnsi="Tahoma" w:eastAsia="仿宋_GB2312" w:cs="Tahoma"/>
          <w:b w:val="0"/>
          <w:bCs/>
          <w:snapToGrid w:val="0"/>
          <w:kern w:val="0"/>
          <w:sz w:val="32"/>
          <w:szCs w:val="32"/>
          <w:highlight w:val="none"/>
          <w:lang w:val="en-US" w:eastAsia="zh-CN"/>
        </w:rPr>
        <w:t>2021年3月19日，中国银行保险监督管理委员会辽宁监管局正式批复，核准李之奇鞍钢财务公司董事任职资格。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董事：</w:t>
      </w:r>
      <w:r>
        <w:rPr>
          <w:rFonts w:hint="eastAsia" w:ascii="仿宋_GB2312" w:hAnsi="仿宋_GB2312" w:eastAsia="仿宋_GB2312" w:cs="仿宋_GB2312"/>
          <w:sz w:val="32"/>
          <w:szCs w:val="32"/>
          <w:highlight w:val="none"/>
          <w:lang w:val="en-US" w:eastAsia="zh-CN"/>
        </w:rPr>
        <w:t>董炜，男，1963年1月出生，辽宁丹东人，中共党员，高级经济师，高级会计师。曾在鞍钢矿业公司、</w:t>
      </w:r>
      <w:r>
        <w:rPr>
          <w:rFonts w:hint="eastAsia" w:ascii="仿宋_GB2312" w:hAnsi="仿宋_GB2312" w:eastAsia="仿宋_GB2312" w:cs="仿宋_GB2312"/>
          <w:sz w:val="32"/>
          <w:szCs w:val="32"/>
          <w:highlight w:val="none"/>
          <w:lang w:val="zh-CN"/>
        </w:rPr>
        <w:t>鞍钢第三产业公司、</w:t>
      </w:r>
      <w:r>
        <w:rPr>
          <w:rFonts w:hint="eastAsia" w:ascii="仿宋_GB2312" w:hAnsi="仿宋_GB2312" w:eastAsia="仿宋_GB2312" w:cs="仿宋_GB2312"/>
          <w:sz w:val="32"/>
          <w:szCs w:val="32"/>
          <w:highlight w:val="none"/>
          <w:lang w:val="en-US" w:eastAsia="zh-CN"/>
        </w:rPr>
        <w:t>鞍山钢铁集团公司、鞍钢财务公司工作，现任鞍钢财务公司董事。</w:t>
      </w:r>
      <w:r>
        <w:rPr>
          <w:rFonts w:hint="eastAsia" w:ascii="仿宋_GB2312" w:hAnsi="Tahoma" w:eastAsia="仿宋_GB2312" w:cs="Tahoma"/>
          <w:b w:val="0"/>
          <w:bCs/>
          <w:snapToGrid w:val="0"/>
          <w:kern w:val="0"/>
          <w:sz w:val="32"/>
          <w:szCs w:val="32"/>
          <w:highlight w:val="none"/>
          <w:lang w:val="en-US" w:eastAsia="zh-CN"/>
        </w:rPr>
        <w:t>2012年10月16日，中国银行业监督管理委员会辽宁监管局正式批复，核准董炜鞍钢财务公司董事任职资格。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highlight w:val="none"/>
        </w:rPr>
      </w:pPr>
      <w:bookmarkStart w:id="30" w:name="bookmark57"/>
      <w:bookmarkEnd w:id="30"/>
      <w:bookmarkStart w:id="31" w:name="bookmark58"/>
      <w:bookmarkStart w:id="32" w:name="bookmark56"/>
      <w:bookmarkStart w:id="33" w:name="bookmark55"/>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lang w:val="zh-CN" w:eastAsia="zh-CN"/>
        </w:rPr>
        <w:t>董</w:t>
      </w:r>
      <w:r>
        <w:rPr>
          <w:rFonts w:hint="eastAsia" w:ascii="仿宋_GB2312" w:hAnsi="仿宋_GB2312" w:eastAsia="仿宋_GB2312" w:cs="仿宋_GB2312"/>
          <w:b/>
          <w:bCs/>
          <w:sz w:val="32"/>
          <w:szCs w:val="32"/>
          <w:highlight w:val="none"/>
        </w:rPr>
        <w:t>事会会议召开情况</w:t>
      </w:r>
      <w:bookmarkEnd w:id="31"/>
      <w:bookmarkEnd w:id="32"/>
      <w:bookmarkEnd w:id="3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2022年度，公司董事会共召开</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次会议，会议频次及召开程序均符合法规和监管要求，有效发挥了董事会的决策作用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具体情况如下表：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p>
    <w:tbl>
      <w:tblPr>
        <w:tblStyle w:val="8"/>
        <w:tblW w:w="100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3"/>
        <w:gridCol w:w="1500"/>
        <w:gridCol w:w="1692"/>
        <w:gridCol w:w="1968"/>
        <w:gridCol w:w="1793"/>
        <w:gridCol w:w="1025"/>
        <w:gridCol w:w="1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3"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bCs/>
                <w:i w:val="0"/>
                <w:iCs w:val="0"/>
                <w:color w:val="000000"/>
                <w:sz w:val="21"/>
                <w:szCs w:val="21"/>
                <w:highlight w:val="none"/>
                <w:u w:val="none"/>
              </w:rPr>
            </w:pPr>
            <w:bookmarkStart w:id="34" w:name="bookmark59"/>
            <w:bookmarkEnd w:id="34"/>
            <w:r>
              <w:rPr>
                <w:rFonts w:hint="eastAsia" w:ascii="仿宋_GB2312" w:hAnsi="仿宋_GB2312" w:eastAsia="仿宋_GB2312" w:cs="仿宋_GB2312"/>
                <w:b/>
                <w:bCs/>
                <w:i w:val="0"/>
                <w:iCs w:val="0"/>
                <w:color w:val="000000"/>
                <w:spacing w:val="0"/>
                <w:w w:val="100"/>
                <w:kern w:val="0"/>
                <w:position w:val="0"/>
                <w:sz w:val="21"/>
                <w:szCs w:val="21"/>
                <w:highlight w:val="none"/>
                <w:u w:val="none"/>
                <w:shd w:val="clear" w:color="auto" w:fill="auto"/>
                <w:lang w:val="en-US" w:eastAsia="zh-CN" w:bidi="ar"/>
              </w:rPr>
              <w:t>序号</w:t>
            </w:r>
          </w:p>
        </w:tc>
        <w:tc>
          <w:tcPr>
            <w:tcW w:w="15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spacing w:val="0"/>
                <w:w w:val="100"/>
                <w:kern w:val="0"/>
                <w:position w:val="0"/>
                <w:sz w:val="21"/>
                <w:szCs w:val="21"/>
                <w:highlight w:val="none"/>
                <w:u w:val="none"/>
                <w:shd w:val="clear" w:color="auto" w:fill="auto"/>
                <w:lang w:val="en-US" w:eastAsia="zh-CN" w:bidi="ar"/>
              </w:rPr>
              <w:t>时间</w:t>
            </w:r>
          </w:p>
        </w:tc>
        <w:tc>
          <w:tcPr>
            <w:tcW w:w="169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spacing w:val="0"/>
                <w:w w:val="100"/>
                <w:kern w:val="0"/>
                <w:position w:val="0"/>
                <w:sz w:val="21"/>
                <w:szCs w:val="21"/>
                <w:highlight w:val="none"/>
                <w:u w:val="none"/>
                <w:shd w:val="clear" w:color="auto" w:fill="auto"/>
                <w:lang w:val="en-US" w:eastAsia="zh-CN" w:bidi="ar"/>
              </w:rPr>
              <w:t>会议地点</w:t>
            </w:r>
          </w:p>
        </w:tc>
        <w:tc>
          <w:tcPr>
            <w:tcW w:w="196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spacing w:val="0"/>
                <w:w w:val="100"/>
                <w:kern w:val="0"/>
                <w:position w:val="0"/>
                <w:sz w:val="21"/>
                <w:szCs w:val="21"/>
                <w:highlight w:val="none"/>
                <w:u w:val="none"/>
                <w:shd w:val="clear" w:color="auto" w:fill="auto"/>
                <w:lang w:val="en-US" w:eastAsia="zh-CN" w:bidi="ar"/>
              </w:rPr>
              <w:t>参会情况</w:t>
            </w:r>
          </w:p>
        </w:tc>
        <w:tc>
          <w:tcPr>
            <w:tcW w:w="179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spacing w:val="0"/>
                <w:w w:val="100"/>
                <w:kern w:val="0"/>
                <w:position w:val="0"/>
                <w:sz w:val="21"/>
                <w:szCs w:val="21"/>
                <w:highlight w:val="none"/>
                <w:u w:val="none"/>
                <w:shd w:val="clear" w:color="auto" w:fill="auto"/>
                <w:lang w:val="en-US" w:eastAsia="zh-CN" w:bidi="ar"/>
              </w:rPr>
              <w:t>类别</w:t>
            </w:r>
          </w:p>
        </w:tc>
        <w:tc>
          <w:tcPr>
            <w:tcW w:w="10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spacing w:val="0"/>
                <w:w w:val="100"/>
                <w:kern w:val="0"/>
                <w:position w:val="0"/>
                <w:sz w:val="21"/>
                <w:szCs w:val="21"/>
                <w:highlight w:val="none"/>
                <w:u w:val="none"/>
                <w:shd w:val="clear" w:color="auto" w:fill="auto"/>
                <w:lang w:val="en-US" w:eastAsia="zh-CN" w:bidi="ar"/>
              </w:rPr>
              <w:t>审议议案数量</w:t>
            </w:r>
          </w:p>
        </w:tc>
        <w:tc>
          <w:tcPr>
            <w:tcW w:w="1284"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spacing w:val="0"/>
                <w:w w:val="100"/>
                <w:kern w:val="0"/>
                <w:position w:val="0"/>
                <w:sz w:val="21"/>
                <w:szCs w:val="21"/>
                <w:highlight w:val="none"/>
                <w:u w:val="none"/>
                <w:shd w:val="clear" w:color="auto" w:fill="auto"/>
                <w:lang w:val="en-US" w:eastAsia="zh-CN" w:bidi="ar"/>
              </w:rPr>
              <w:t>表决情况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76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2022.4.13</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鞍钢财务公司四楼会议室</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全体董事出席</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第六届董事会第八次会议</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17</w:t>
            </w:r>
          </w:p>
        </w:tc>
        <w:tc>
          <w:tcPr>
            <w:tcW w:w="128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76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2022.8.4</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鞍钢财务公司四楼会议室</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全体董事出席</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第六届董事会第九次会议</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8</w:t>
            </w:r>
          </w:p>
        </w:tc>
        <w:tc>
          <w:tcPr>
            <w:tcW w:w="128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76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2022.9.28</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鞍钢财务公司四楼会议室</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全体董事出席</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第六届董事会第十次会议</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3</w:t>
            </w:r>
          </w:p>
        </w:tc>
        <w:tc>
          <w:tcPr>
            <w:tcW w:w="128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76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2022.10.13</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鞍钢财务公司四楼会议室</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全体董事出席</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第六届董事会第十一次会议</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1</w:t>
            </w:r>
          </w:p>
        </w:tc>
        <w:tc>
          <w:tcPr>
            <w:tcW w:w="128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763"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5</w:t>
            </w:r>
          </w:p>
        </w:tc>
        <w:tc>
          <w:tcPr>
            <w:tcW w:w="15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2022.12.26</w:t>
            </w:r>
          </w:p>
        </w:tc>
        <w:tc>
          <w:tcPr>
            <w:tcW w:w="169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鞍钢财务公司四楼会议室</w:t>
            </w:r>
          </w:p>
        </w:tc>
        <w:tc>
          <w:tcPr>
            <w:tcW w:w="196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都兴开、张万斌2名董事缺席，其他5名董事出席</w:t>
            </w:r>
          </w:p>
        </w:tc>
        <w:tc>
          <w:tcPr>
            <w:tcW w:w="17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第六届董事会第十二次会议</w:t>
            </w:r>
          </w:p>
        </w:tc>
        <w:tc>
          <w:tcPr>
            <w:tcW w:w="10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6</w:t>
            </w:r>
          </w:p>
        </w:tc>
        <w:tc>
          <w:tcPr>
            <w:tcW w:w="1284"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全体通过</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highlight w:val="none"/>
        </w:rPr>
      </w:pPr>
      <w:bookmarkStart w:id="35" w:name="bookmark62"/>
      <w:bookmarkStart w:id="36" w:name="bookmark60"/>
      <w:bookmarkStart w:id="37" w:name="bookmark61"/>
      <w:r>
        <w:rPr>
          <w:rFonts w:hint="eastAsia" w:ascii="楷体_GB2312" w:hAnsi="楷体_GB2312" w:eastAsia="楷体_GB2312" w:cs="楷体_GB2312"/>
          <w:b/>
          <w:bCs/>
          <w:sz w:val="32"/>
          <w:szCs w:val="32"/>
          <w:highlight w:val="none"/>
        </w:rPr>
        <w:t>（五）监事会职责</w:t>
      </w: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lang w:val="en-US" w:eastAsia="zh-CN"/>
        </w:rPr>
        <w:t>人员构成</w:t>
      </w:r>
      <w:r>
        <w:rPr>
          <w:rFonts w:hint="eastAsia" w:ascii="楷体_GB2312" w:hAnsi="楷体_GB2312" w:eastAsia="楷体_GB2312" w:cs="楷体_GB2312"/>
          <w:b/>
          <w:bCs/>
          <w:sz w:val="32"/>
          <w:szCs w:val="32"/>
          <w:highlight w:val="none"/>
        </w:rPr>
        <w:t>及会议召开情况</w:t>
      </w:r>
      <w:bookmarkEnd w:id="35"/>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highlight w:val="none"/>
        </w:rPr>
      </w:pPr>
      <w:bookmarkStart w:id="38" w:name="bookmark63"/>
      <w:bookmarkEnd w:id="38"/>
      <w:bookmarkStart w:id="39" w:name="bookmark64"/>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rPr>
        <w:t>监事会职责</w:t>
      </w:r>
      <w:bookmarkEnd w:id="36"/>
      <w:bookmarkEnd w:id="37"/>
      <w:bookmarkEnd w:id="39"/>
    </w:p>
    <w:p>
      <w:pPr>
        <w:pStyle w:val="5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bookmarkStart w:id="40" w:name="bookmark65"/>
      <w:bookmarkEnd w:id="40"/>
      <w:r>
        <w:rPr>
          <w:rFonts w:hint="eastAsia" w:ascii="仿宋_GB2312" w:hAnsi="仿宋_GB2312" w:eastAsia="仿宋_GB2312" w:cs="仿宋_GB2312"/>
          <w:sz w:val="32"/>
          <w:szCs w:val="32"/>
          <w:highlight w:val="none"/>
          <w:lang w:val="en-US" w:eastAsia="zh-CN"/>
        </w:rPr>
        <w:t>主要负责监督董事会确定稳健的经营理念、价值准则和制定符合公司情况的发展战略；对公司经营决策、风险管理和内部控制等进行监督检查并督促整改；对公司薪酬管理制度实施情况及高级管理人员薪酬方案的科学性、合理性进行监督；</w:t>
      </w:r>
      <w:r>
        <w:rPr>
          <w:rFonts w:hint="eastAsia" w:ascii="仿宋_GB2312" w:hAnsi="仿宋_GB2312" w:eastAsia="仿宋_GB2312" w:cs="仿宋_GB2312"/>
          <w:sz w:val="32"/>
          <w:szCs w:val="32"/>
          <w:highlight w:val="none"/>
        </w:rPr>
        <w:t>检查公司财务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对董事、高级管理人员执行公司职务的行为进行监督，对违反法律、行政法规、公司章程或者股东会决议的董事、高级管理人员提出罢免的建议</w:t>
      </w:r>
      <w:r>
        <w:rPr>
          <w:rFonts w:hint="eastAsia" w:ascii="仿宋_GB2312" w:hAnsi="仿宋_GB2312" w:eastAsia="仿宋_GB2312" w:cs="仿宋_GB2312"/>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rPr>
        <w:t>监事会成员构成及其简历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bookmarkStart w:id="41" w:name="bookmark68"/>
      <w:bookmarkStart w:id="42" w:name="bookmark67"/>
      <w:bookmarkStart w:id="43" w:name="bookmark66"/>
      <w:r>
        <w:rPr>
          <w:rFonts w:hint="eastAsia" w:ascii="仿宋_GB2312" w:hAnsi="仿宋_GB2312" w:eastAsia="仿宋_GB2312" w:cs="仿宋_GB2312"/>
          <w:b/>
          <w:bCs/>
          <w:sz w:val="32"/>
          <w:szCs w:val="32"/>
          <w:highlight w:val="none"/>
          <w:lang w:val="en-US" w:eastAsia="zh-CN"/>
        </w:rPr>
        <w:t>监事会主席：</w:t>
      </w:r>
      <w:r>
        <w:rPr>
          <w:rFonts w:hint="eastAsia" w:ascii="仿宋_GB2312" w:hAnsi="仿宋_GB2312" w:eastAsia="仿宋_GB2312" w:cs="仿宋_GB2312"/>
          <w:sz w:val="32"/>
          <w:szCs w:val="32"/>
          <w:highlight w:val="none"/>
          <w:lang w:val="en-US" w:eastAsia="zh-CN"/>
        </w:rPr>
        <w:t>宋英韬，男，1971年4月出生，辽宁岫岩人，中共党员，教授级高级政工师。曾在</w:t>
      </w:r>
      <w:r>
        <w:rPr>
          <w:rFonts w:hint="eastAsia" w:ascii="仿宋_GB2312" w:hAnsi="仿宋_GB2312" w:eastAsia="仿宋_GB2312" w:cs="仿宋_GB2312"/>
          <w:sz w:val="32"/>
          <w:szCs w:val="32"/>
          <w:highlight w:val="none"/>
          <w:lang w:val="zh-CN"/>
        </w:rPr>
        <w:t>鞍</w:t>
      </w:r>
      <w:r>
        <w:rPr>
          <w:rFonts w:hint="eastAsia" w:ascii="仿宋_GB2312" w:hAnsi="仿宋_GB2312" w:eastAsia="仿宋_GB2312" w:cs="仿宋_GB2312"/>
          <w:sz w:val="32"/>
          <w:szCs w:val="32"/>
          <w:highlight w:val="none"/>
          <w:lang w:val="zh-CN" w:eastAsia="zh-CN"/>
        </w:rPr>
        <w:t>山冶金运输学校、</w:t>
      </w:r>
      <w:r>
        <w:rPr>
          <w:rFonts w:hint="eastAsia" w:ascii="仿宋_GB2312" w:hAnsi="仿宋_GB2312" w:eastAsia="仿宋_GB2312" w:cs="仿宋_GB2312"/>
          <w:sz w:val="32"/>
          <w:szCs w:val="32"/>
          <w:highlight w:val="none"/>
          <w:lang w:val="zh-CN"/>
        </w:rPr>
        <w:t>鞍钢</w:t>
      </w:r>
      <w:r>
        <w:rPr>
          <w:rFonts w:hint="eastAsia" w:ascii="仿宋_GB2312" w:hAnsi="仿宋_GB2312" w:eastAsia="仿宋_GB2312" w:cs="仿宋_GB2312"/>
          <w:sz w:val="32"/>
          <w:szCs w:val="32"/>
          <w:highlight w:val="none"/>
          <w:lang w:val="en-US" w:eastAsia="zh-CN"/>
        </w:rPr>
        <w:t>团委宣传部、鞍钢新钢铁公司、鞍钢新轧钢公司、鞍钢集团有限公司、鞍钢日报、鞍钢集团广告传媒经营公司工作，现任鞍钢财务公司党委副书记、纪委书记、工会主席、监事会主席。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监事：</w:t>
      </w:r>
      <w:r>
        <w:rPr>
          <w:rFonts w:hint="eastAsia" w:ascii="仿宋_GB2312" w:hAnsi="仿宋_GB2312" w:eastAsia="仿宋_GB2312" w:cs="仿宋_GB2312"/>
          <w:b w:val="0"/>
          <w:bCs w:val="0"/>
          <w:sz w:val="32"/>
          <w:szCs w:val="32"/>
          <w:highlight w:val="none"/>
          <w:lang w:val="en-US" w:eastAsia="zh-CN"/>
        </w:rPr>
        <w:t>肖江山</w:t>
      </w:r>
      <w:r>
        <w:rPr>
          <w:rFonts w:hint="eastAsia" w:ascii="仿宋_GB2312" w:hAnsi="仿宋_GB2312" w:eastAsia="仿宋_GB2312" w:cs="仿宋_GB2312"/>
          <w:sz w:val="32"/>
          <w:szCs w:val="32"/>
          <w:highlight w:val="none"/>
          <w:lang w:val="en-US" w:eastAsia="zh-CN"/>
        </w:rPr>
        <w:t>，男，1963年2月出生，辽宁昌图人，中共党员，高级经济师。曾在</w:t>
      </w:r>
      <w:r>
        <w:rPr>
          <w:rFonts w:hint="eastAsia" w:ascii="仿宋_GB2312" w:hAnsi="仿宋_GB2312" w:eastAsia="仿宋_GB2312" w:cs="仿宋_GB2312"/>
          <w:sz w:val="32"/>
          <w:szCs w:val="32"/>
          <w:highlight w:val="none"/>
          <w:lang w:eastAsia="zh-CN"/>
        </w:rPr>
        <w:t>鞍钢半连轧厂、</w:t>
      </w:r>
      <w:r>
        <w:rPr>
          <w:rFonts w:hint="eastAsia" w:ascii="仿宋_GB2312" w:hAnsi="仿宋_GB2312" w:eastAsia="仿宋_GB2312" w:cs="仿宋_GB2312"/>
          <w:sz w:val="32"/>
          <w:szCs w:val="32"/>
          <w:highlight w:val="none"/>
          <w:lang w:val="en-US" w:eastAsia="zh-CN"/>
        </w:rPr>
        <w:t>鞍钢热轧带钢厂、鞍钢机械制造公司、鞍钢新钢铁公司、新轧钢公司、鞍钢股份有限公司、鞍钢设备检修协力中心、鞍钢集团综合实业发展有限公司工作，现任鞍钢财务公司监事。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监事：</w:t>
      </w:r>
      <w:r>
        <w:rPr>
          <w:rFonts w:hint="eastAsia" w:ascii="仿宋_GB2312" w:hAnsi="仿宋_GB2312" w:eastAsia="仿宋_GB2312" w:cs="仿宋_GB2312"/>
          <w:sz w:val="32"/>
          <w:szCs w:val="32"/>
          <w:highlight w:val="none"/>
          <w:lang w:val="en-US" w:eastAsia="zh-CN"/>
        </w:rPr>
        <w:t>赵丽刚，男，1963年6月出生，辽宁海城人，中共党员，高级会计师。曾在鞍钢第二薄板厂、鞍钢劳动工资处、鞍钢供销公司、鞍钢财会部、鞍钢财务公司工作，现任鞍钢财务公司监事。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en-US"/>
        </w:rPr>
        <w:t>3.</w:t>
      </w:r>
      <w:r>
        <w:rPr>
          <w:rFonts w:hint="eastAsia" w:ascii="仿宋_GB2312" w:hAnsi="仿宋_GB2312" w:eastAsia="仿宋_GB2312" w:cs="仿宋_GB2312"/>
          <w:b/>
          <w:bCs/>
          <w:sz w:val="32"/>
          <w:szCs w:val="32"/>
          <w:highlight w:val="none"/>
        </w:rPr>
        <w:t>监事会会议召开情况</w:t>
      </w:r>
      <w:bookmarkEnd w:id="41"/>
      <w:bookmarkEnd w:id="42"/>
      <w:bookmarkEnd w:id="4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2022年度，公司共召开</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次监事会会议，会议频次及召开程序均符合法规和监管要求。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p>
    <w:tbl>
      <w:tblPr>
        <w:tblStyle w:val="8"/>
        <w:tblW w:w="91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1284"/>
        <w:gridCol w:w="1745"/>
        <w:gridCol w:w="1536"/>
        <w:gridCol w:w="1740"/>
        <w:gridCol w:w="996"/>
        <w:gridCol w:w="12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6"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bCs/>
                <w:i w:val="0"/>
                <w:iCs w:val="0"/>
                <w:color w:val="000000"/>
                <w:sz w:val="21"/>
                <w:szCs w:val="21"/>
                <w:highlight w:val="none"/>
                <w:u w:val="none"/>
              </w:rPr>
            </w:pPr>
            <w:bookmarkStart w:id="44" w:name="bookmark71"/>
            <w:bookmarkStart w:id="45" w:name="bookmark70"/>
            <w:bookmarkStart w:id="46" w:name="bookmark69"/>
            <w:r>
              <w:rPr>
                <w:rFonts w:hint="eastAsia" w:ascii="仿宋_GB2312" w:hAnsi="仿宋_GB2312" w:eastAsia="仿宋_GB2312" w:cs="仿宋_GB2312"/>
                <w:b/>
                <w:bCs/>
                <w:i w:val="0"/>
                <w:iCs w:val="0"/>
                <w:color w:val="000000"/>
                <w:spacing w:val="0"/>
                <w:w w:val="100"/>
                <w:kern w:val="0"/>
                <w:position w:val="0"/>
                <w:sz w:val="21"/>
                <w:szCs w:val="21"/>
                <w:highlight w:val="none"/>
                <w:u w:val="none"/>
                <w:shd w:val="clear" w:color="auto" w:fill="auto"/>
                <w:lang w:val="en-US" w:eastAsia="zh-CN" w:bidi="ar"/>
              </w:rPr>
              <w:t>序号</w:t>
            </w:r>
          </w:p>
        </w:tc>
        <w:tc>
          <w:tcPr>
            <w:tcW w:w="128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spacing w:val="0"/>
                <w:w w:val="100"/>
                <w:kern w:val="0"/>
                <w:position w:val="0"/>
                <w:sz w:val="21"/>
                <w:szCs w:val="21"/>
                <w:highlight w:val="none"/>
                <w:u w:val="none"/>
                <w:shd w:val="clear" w:color="auto" w:fill="auto"/>
                <w:lang w:val="en-US" w:eastAsia="zh-CN" w:bidi="ar"/>
              </w:rPr>
              <w:t>时间</w:t>
            </w:r>
          </w:p>
        </w:tc>
        <w:tc>
          <w:tcPr>
            <w:tcW w:w="17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spacing w:val="0"/>
                <w:w w:val="100"/>
                <w:kern w:val="0"/>
                <w:position w:val="0"/>
                <w:sz w:val="21"/>
                <w:szCs w:val="21"/>
                <w:highlight w:val="none"/>
                <w:u w:val="none"/>
                <w:shd w:val="clear" w:color="auto" w:fill="auto"/>
                <w:lang w:val="en-US" w:eastAsia="zh-CN" w:bidi="ar"/>
              </w:rPr>
              <w:t>会议地点</w:t>
            </w:r>
          </w:p>
        </w:tc>
        <w:tc>
          <w:tcPr>
            <w:tcW w:w="153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spacing w:val="0"/>
                <w:w w:val="100"/>
                <w:kern w:val="0"/>
                <w:position w:val="0"/>
                <w:sz w:val="21"/>
                <w:szCs w:val="21"/>
                <w:highlight w:val="none"/>
                <w:u w:val="none"/>
                <w:shd w:val="clear" w:color="auto" w:fill="auto"/>
                <w:lang w:val="en-US" w:eastAsia="zh-CN" w:bidi="ar"/>
              </w:rPr>
              <w:t>参会情况</w:t>
            </w:r>
          </w:p>
        </w:tc>
        <w:tc>
          <w:tcPr>
            <w:tcW w:w="17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spacing w:val="0"/>
                <w:w w:val="100"/>
                <w:kern w:val="0"/>
                <w:position w:val="0"/>
                <w:sz w:val="21"/>
                <w:szCs w:val="21"/>
                <w:highlight w:val="none"/>
                <w:u w:val="none"/>
                <w:shd w:val="clear" w:color="auto" w:fill="auto"/>
                <w:lang w:val="en-US" w:eastAsia="zh-CN" w:bidi="ar"/>
              </w:rPr>
              <w:t>类别</w:t>
            </w:r>
          </w:p>
        </w:tc>
        <w:tc>
          <w:tcPr>
            <w:tcW w:w="99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spacing w:val="0"/>
                <w:w w:val="100"/>
                <w:kern w:val="0"/>
                <w:position w:val="0"/>
                <w:sz w:val="21"/>
                <w:szCs w:val="21"/>
                <w:highlight w:val="none"/>
                <w:u w:val="none"/>
                <w:shd w:val="clear" w:color="auto" w:fill="auto"/>
                <w:lang w:val="en-US" w:eastAsia="zh-CN" w:bidi="ar"/>
              </w:rPr>
              <w:t>审议议案数量</w:t>
            </w:r>
          </w:p>
        </w:tc>
        <w:tc>
          <w:tcPr>
            <w:tcW w:w="1208"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spacing w:val="0"/>
                <w:w w:val="100"/>
                <w:kern w:val="0"/>
                <w:position w:val="0"/>
                <w:sz w:val="21"/>
                <w:szCs w:val="21"/>
                <w:highlight w:val="none"/>
                <w:u w:val="none"/>
                <w:shd w:val="clear" w:color="auto" w:fill="auto"/>
                <w:lang w:val="en-US" w:eastAsia="zh-CN" w:bidi="ar"/>
              </w:rPr>
              <w:t>表决情况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2" w:hRule="atLeast"/>
          <w:jc w:val="center"/>
        </w:trPr>
        <w:tc>
          <w:tcPr>
            <w:tcW w:w="63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2022.3.30</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鞍钢财务公司四楼会议室</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全体监事出席</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第三届监事会第八次会议</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3</w:t>
            </w:r>
          </w:p>
        </w:tc>
        <w:tc>
          <w:tcPr>
            <w:tcW w:w="120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2" w:hRule="atLeast"/>
          <w:jc w:val="center"/>
        </w:trPr>
        <w:tc>
          <w:tcPr>
            <w:tcW w:w="63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2</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2022.6.30</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鞍钢财务公司四楼会议室</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全体监事出席</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第三届监事会第九次会议</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1</w:t>
            </w:r>
          </w:p>
        </w:tc>
        <w:tc>
          <w:tcPr>
            <w:tcW w:w="120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2" w:hRule="atLeast"/>
          <w:jc w:val="center"/>
        </w:trPr>
        <w:tc>
          <w:tcPr>
            <w:tcW w:w="63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3</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2022.9.5</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鞍钢财务公司四楼会议室</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全体监事出席</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第三届监事会第十次会议</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1</w:t>
            </w:r>
          </w:p>
        </w:tc>
        <w:tc>
          <w:tcPr>
            <w:tcW w:w="120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2" w:hRule="atLeast"/>
          <w:jc w:val="center"/>
        </w:trPr>
        <w:tc>
          <w:tcPr>
            <w:tcW w:w="636"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4</w:t>
            </w:r>
          </w:p>
        </w:tc>
        <w:tc>
          <w:tcPr>
            <w:tcW w:w="128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2022.12.30</w:t>
            </w:r>
          </w:p>
        </w:tc>
        <w:tc>
          <w:tcPr>
            <w:tcW w:w="17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鞍钢财务公司四楼会议室</w:t>
            </w:r>
          </w:p>
        </w:tc>
        <w:tc>
          <w:tcPr>
            <w:tcW w:w="153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全体监事出席</w:t>
            </w:r>
          </w:p>
        </w:tc>
        <w:tc>
          <w:tcPr>
            <w:tcW w:w="17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第三届监事会第十一次会议</w:t>
            </w:r>
          </w:p>
        </w:tc>
        <w:tc>
          <w:tcPr>
            <w:tcW w:w="99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1</w:t>
            </w:r>
          </w:p>
        </w:tc>
        <w:tc>
          <w:tcPr>
            <w:tcW w:w="1208"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全体通过</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rPr>
        <w:t>（六）高级管理层职责</w:t>
      </w:r>
      <w:bookmarkEnd w:id="44"/>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lang w:val="en-US" w:eastAsia="zh-CN"/>
        </w:rPr>
        <w:t>人员构成情况</w:t>
      </w:r>
    </w:p>
    <w:p>
      <w:pPr>
        <w:keepNext w:val="0"/>
        <w:keepLines w:val="0"/>
        <w:pageBreakBefore w:val="0"/>
        <w:widowControl w:val="0"/>
        <w:kinsoku/>
        <w:wordWrap/>
        <w:overflowPunct/>
        <w:topLinePunct w:val="0"/>
        <w:bidi w:val="0"/>
        <w:spacing w:line="560" w:lineRule="exact"/>
        <w:ind w:firstLine="643" w:firstLineChars="200"/>
        <w:textAlignment w:val="auto"/>
        <w:rPr>
          <w:rFonts w:hint="default" w:ascii="仿宋_GB2312" w:hAnsi="仿宋_GB2312" w:eastAsia="仿宋_GB2312" w:cs="仿宋_GB2312"/>
          <w:b/>
          <w:bCs/>
          <w:sz w:val="32"/>
          <w:szCs w:val="32"/>
          <w:highlight w:val="none"/>
          <w:lang w:val="en-US" w:eastAsia="zh-CN"/>
        </w:rPr>
      </w:pPr>
      <w:bookmarkStart w:id="47" w:name="bookmark72"/>
      <w:bookmarkEnd w:id="47"/>
      <w:bookmarkStart w:id="48" w:name="bookmark73"/>
      <w:r>
        <w:rPr>
          <w:rFonts w:hint="eastAsia" w:ascii="仿宋_GB2312" w:hAnsi="仿宋_GB2312" w:eastAsia="仿宋_GB2312" w:cs="仿宋_GB2312"/>
          <w:b/>
          <w:bCs/>
          <w:sz w:val="32"/>
          <w:szCs w:val="32"/>
          <w:highlight w:val="none"/>
          <w:lang w:val="en-US" w:eastAsia="zh-CN"/>
        </w:rPr>
        <w:t>1.高级管理层职责</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高级管理</w:t>
      </w:r>
      <w:r>
        <w:rPr>
          <w:rFonts w:hint="eastAsia" w:ascii="仿宋_GB2312" w:hAnsi="仿宋_GB2312" w:eastAsia="仿宋_GB2312" w:cs="仿宋_GB2312"/>
          <w:sz w:val="32"/>
          <w:szCs w:val="32"/>
          <w:highlight w:val="none"/>
        </w:rPr>
        <w:t>层是公司的执行机构，根据公司章程及董事会授权开展经营管理活动，谋经营、抓落实、强管理，接受董事会管理和监事会监督。</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高级管理层按照董事会、监事会要求，及时、准确、完整地报告公司经营管理情况，提供有关资料。</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高级管理层根据公司章程及董事会授权开展经营管理活动，积极执行股东会决议及董事会决议，</w:t>
      </w:r>
      <w:r>
        <w:rPr>
          <w:rFonts w:hint="eastAsia" w:ascii="仿宋_GB2312" w:hAnsi="仿宋_GB2312" w:eastAsia="仿宋_GB2312" w:cs="仿宋_GB2312"/>
          <w:sz w:val="32"/>
          <w:szCs w:val="32"/>
          <w:highlight w:val="none"/>
        </w:rPr>
        <w:t>在其职权范围内的经营管理活动不受股东和董事会不当干预。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2.高级管理层</w:t>
      </w:r>
      <w:r>
        <w:rPr>
          <w:rFonts w:hint="eastAsia" w:ascii="仿宋_GB2312" w:hAnsi="仿宋_GB2312" w:eastAsia="仿宋_GB2312" w:cs="仿宋_GB2312"/>
          <w:b/>
          <w:bCs/>
          <w:sz w:val="32"/>
          <w:szCs w:val="32"/>
          <w:highlight w:val="none"/>
        </w:rPr>
        <w:t>成员构成及其简历</w:t>
      </w:r>
    </w:p>
    <w:bookmarkEnd w:id="45"/>
    <w:bookmarkEnd w:id="46"/>
    <w:bookmarkEnd w:id="48"/>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b/>
          <w:bCs/>
          <w:sz w:val="32"/>
          <w:szCs w:val="32"/>
          <w:highlight w:val="none"/>
          <w:lang w:val="en-US" w:eastAsia="zh-CN"/>
        </w:rPr>
        <w:t>总经理：</w:t>
      </w:r>
      <w:r>
        <w:rPr>
          <w:rFonts w:hint="eastAsia" w:ascii="仿宋_GB2312" w:hAnsi="仿宋_GB2312" w:eastAsia="仿宋_GB2312" w:cs="仿宋_GB2312"/>
          <w:sz w:val="32"/>
          <w:szCs w:val="32"/>
          <w:highlight w:val="none"/>
          <w:lang w:val="en-US" w:eastAsia="zh-CN"/>
        </w:rPr>
        <w:t>李之奇，男，1966年9月出生，辽宁海城人，中共党员，正高级经济师。曾在鞍钢矿山公司供应处、鞍山钢铁集团公司矿山公司、鞍钢集团鞍山矿业公司附属企业、供销公司、鞍钢集团矿业有限公司工作，现任鞍钢财务公司</w:t>
      </w:r>
      <w:r>
        <w:rPr>
          <w:rFonts w:hint="eastAsia" w:ascii="仿宋_GB2312" w:hAnsi="仿宋_GB2312" w:eastAsia="仿宋_GB2312" w:cs="仿宋_GB2312"/>
          <w:sz w:val="32"/>
          <w:szCs w:val="32"/>
          <w:highlight w:val="none"/>
          <w:lang w:val="zh-CN"/>
        </w:rPr>
        <w:t>党委书记、董事、总经理。</w:t>
      </w:r>
      <w:r>
        <w:rPr>
          <w:rFonts w:hint="eastAsia" w:ascii="仿宋_GB2312" w:hAnsi="Tahoma" w:eastAsia="仿宋_GB2312" w:cs="Tahoma"/>
          <w:b w:val="0"/>
          <w:bCs/>
          <w:snapToGrid w:val="0"/>
          <w:kern w:val="0"/>
          <w:sz w:val="32"/>
          <w:szCs w:val="32"/>
          <w:highlight w:val="none"/>
          <w:lang w:val="en-US" w:eastAsia="zh-CN"/>
        </w:rPr>
        <w:t>2021年5月12日，中国银行保险监督管理委员会辽宁监管局正式批复，核准李之奇鞍钢财务公司总经理任职资格。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bCs/>
          <w:sz w:val="32"/>
          <w:szCs w:val="32"/>
          <w:highlight w:val="none"/>
          <w:lang w:val="en-US" w:eastAsia="zh-CN"/>
        </w:rPr>
        <w:t>副总经理：</w:t>
      </w:r>
      <w:r>
        <w:rPr>
          <w:rFonts w:hint="eastAsia" w:ascii="仿宋_GB2312" w:hAnsi="仿宋_GB2312" w:eastAsia="仿宋_GB2312" w:cs="仿宋_GB2312"/>
          <w:kern w:val="0"/>
          <w:sz w:val="32"/>
          <w:szCs w:val="32"/>
          <w:highlight w:val="none"/>
          <w:lang w:val="en-US" w:eastAsia="zh-CN"/>
        </w:rPr>
        <w:t>曹爱民，男，1967年6月出生，河南洛阳人，中共党员，教授级高级会计师</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曾在本钢一建、本钢财务部、本溪钢铁公司、本钢集团、本钢财务公司工作，现任鞍钢财务公司副总经理。</w:t>
      </w:r>
      <w:r>
        <w:rPr>
          <w:rFonts w:hint="eastAsia" w:ascii="仿宋_GB2312" w:hAnsi="Tahoma" w:eastAsia="仿宋_GB2312" w:cs="Tahoma"/>
          <w:b w:val="0"/>
          <w:bCs/>
          <w:snapToGrid w:val="0"/>
          <w:kern w:val="0"/>
          <w:sz w:val="32"/>
          <w:szCs w:val="32"/>
          <w:highlight w:val="none"/>
          <w:lang w:val="en-US" w:eastAsia="zh-CN"/>
        </w:rPr>
        <w:t>2022年11月4日，中国银行保险监督管理委员会辽宁监管局正式批复，核准曹爱民鞍钢财务公司副总经理任职资格。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kern w:val="0"/>
          <w:sz w:val="32"/>
          <w:szCs w:val="32"/>
          <w:highlight w:val="none"/>
          <w:lang w:val="en-US"/>
        </w:rPr>
      </w:pPr>
      <w:r>
        <w:rPr>
          <w:rFonts w:hint="eastAsia" w:ascii="仿宋_GB2312" w:hAnsi="仿宋_GB2312" w:eastAsia="仿宋_GB2312" w:cs="仿宋_GB2312"/>
          <w:b/>
          <w:bCs/>
          <w:sz w:val="32"/>
          <w:szCs w:val="32"/>
          <w:highlight w:val="none"/>
          <w:lang w:val="en-US" w:eastAsia="zh-CN"/>
        </w:rPr>
        <w:t>副总经理、董事会秘书、首席合规官：</w:t>
      </w:r>
      <w:r>
        <w:rPr>
          <w:rFonts w:hint="eastAsia" w:ascii="仿宋_GB2312" w:hAnsi="仿宋_GB2312" w:eastAsia="仿宋_GB2312" w:cs="仿宋_GB2312"/>
          <w:kern w:val="0"/>
          <w:sz w:val="32"/>
          <w:szCs w:val="32"/>
          <w:highlight w:val="none"/>
          <w:lang w:val="en-US" w:eastAsia="zh-CN"/>
        </w:rPr>
        <w:t>王连凤，女，1982年12月出生，辽宁辽阳人，中共党员，高级经济师。曾在鞍钢财务公司计划会计部、投资咨询部、营业部、住房资金管理部、国际业务部、结算业务部工作，现任鞍钢财务公司党委委员、副总经理、董事会秘书、首席合规官、总法律顾问。</w:t>
      </w:r>
      <w:r>
        <w:rPr>
          <w:rFonts w:hint="eastAsia" w:ascii="仿宋_GB2312" w:hAnsi="Tahoma" w:eastAsia="仿宋_GB2312" w:cs="Tahoma"/>
          <w:b w:val="0"/>
          <w:bCs/>
          <w:snapToGrid w:val="0"/>
          <w:kern w:val="0"/>
          <w:sz w:val="32"/>
          <w:szCs w:val="32"/>
          <w:highlight w:val="none"/>
          <w:lang w:val="en-US" w:eastAsia="zh-CN"/>
        </w:rPr>
        <w:t>2022年9月27日，中国银行保险监督管理委员会辽宁监管局正式批复，核准王连凤鞍钢财务公司副总经理任职资格；2023年1月9日，向中国银行保险监督管理委员会辽宁监管局备案董事会秘书、首席合规官职务。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highlight w:val="none"/>
          <w:lang w:val="en-US" w:eastAsia="zh-CN"/>
        </w:rPr>
      </w:pPr>
      <w:bookmarkStart w:id="49" w:name="bookmark80"/>
      <w:bookmarkStart w:id="50" w:name="bookmark79"/>
      <w:bookmarkStart w:id="51" w:name="bookmark81"/>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lang w:val="en-US" w:eastAsia="zh-CN"/>
        </w:rPr>
        <w:t>七</w:t>
      </w: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rPr>
        <w:t>薪酬管理</w:t>
      </w:r>
      <w:r>
        <w:rPr>
          <w:rFonts w:hint="eastAsia" w:ascii="楷体_GB2312" w:hAnsi="楷体_GB2312" w:eastAsia="楷体_GB2312" w:cs="楷体_GB2312"/>
          <w:b/>
          <w:bCs/>
          <w:sz w:val="32"/>
          <w:szCs w:val="32"/>
          <w:highlight w:val="none"/>
          <w:lang w:val="en-US" w:eastAsia="zh-CN"/>
        </w:rPr>
        <w:t>制度及董监高薪酬情况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1.薪酬管理制度情况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鞍钢财务公司制定《鞍钢集团财务有限责任公司企业负责人综合考核评价与薪酬管理办法》《鞍钢集团财务有限责任公司薪酬管理办法》《鞍钢集团财务有限责任公司绩效评价管理办法》《鞍钢集团财务有限责任公司绩效薪酬延期支付与追索扣回管理办法》《鞍钢集团财务有限责任公司总经理嘉奖管理办法》，明确了员工职级分类体系及其薪酬对应标准，规定了基本薪酬的档次分类及晋级办法，规定了绩效薪酬的档次分类及考核管理办法，明确了高管人员绩效薪酬的延期支付和追索扣回情形。</w:t>
      </w:r>
    </w:p>
    <w:p>
      <w:pPr>
        <w:numPr>
          <w:ilvl w:val="0"/>
          <w:numId w:val="0"/>
        </w:numPr>
        <w:adjustRightInd w:val="0"/>
        <w:spacing w:line="560" w:lineRule="exact"/>
        <w:ind w:firstLine="640" w:firstLineChars="200"/>
        <w:jc w:val="both"/>
        <w:rPr>
          <w:rFonts w:hint="eastAsia" w:ascii="仿宋_GB2312" w:hAnsi="Times New Roman" w:eastAsia="仿宋_GB2312" w:cs="Times New Roman"/>
          <w:kern w:val="0"/>
          <w:sz w:val="32"/>
          <w:szCs w:val="32"/>
          <w:highlight w:val="none"/>
        </w:rPr>
      </w:pPr>
      <w:r>
        <w:rPr>
          <w:rFonts w:hint="eastAsia" w:ascii="仿宋_GB2312" w:hAnsi="仿宋_GB2312" w:eastAsia="仿宋_GB2312" w:cs="仿宋_GB2312"/>
          <w:sz w:val="32"/>
          <w:szCs w:val="32"/>
          <w:highlight w:val="none"/>
          <w:lang w:val="en-US" w:eastAsia="zh-CN"/>
        </w:rPr>
        <w:t>鞍钢财务公司</w:t>
      </w:r>
      <w:r>
        <w:rPr>
          <w:rFonts w:hint="eastAsia" w:ascii="仿宋_GB2312" w:eastAsia="仿宋_GB2312" w:cs="Times New Roman"/>
          <w:kern w:val="0"/>
          <w:sz w:val="32"/>
          <w:szCs w:val="32"/>
          <w:highlight w:val="none"/>
          <w:lang w:val="en-US" w:eastAsia="zh-CN"/>
        </w:rPr>
        <w:t>设立了</w:t>
      </w:r>
      <w:r>
        <w:rPr>
          <w:rFonts w:hint="eastAsia" w:ascii="仿宋_GB2312" w:hAnsi="Times New Roman" w:eastAsia="仿宋_GB2312" w:cs="Times New Roman"/>
          <w:kern w:val="0"/>
          <w:sz w:val="32"/>
          <w:szCs w:val="32"/>
          <w:highlight w:val="none"/>
        </w:rPr>
        <w:t>绩效与薪酬管理委员会，</w:t>
      </w:r>
      <w:r>
        <w:rPr>
          <w:rFonts w:hint="eastAsia" w:ascii="仿宋_GB2312" w:eastAsia="仿宋_GB2312"/>
          <w:kern w:val="0"/>
          <w:sz w:val="32"/>
          <w:szCs w:val="32"/>
          <w:highlight w:val="none"/>
        </w:rPr>
        <w:t>绩效与薪酬管理委员会实行主任负责制，设主任一名，副主任和成员若干，主任由公司总经理担任，副主任由党政领导班子副职担任，成员部门包括综合管理部、稽核管理部、风险控制部、财务管理部。绩效与薪酬管理委员会</w:t>
      </w:r>
      <w:r>
        <w:rPr>
          <w:rFonts w:hint="eastAsia" w:ascii="仿宋_GB2312" w:hAnsi="Times New Roman" w:eastAsia="仿宋_GB2312" w:cs="Times New Roman"/>
          <w:kern w:val="0"/>
          <w:sz w:val="32"/>
          <w:szCs w:val="32"/>
          <w:highlight w:val="none"/>
        </w:rPr>
        <w:t>负责审议绩效评价考核办法；</w:t>
      </w:r>
      <w:r>
        <w:rPr>
          <w:rFonts w:hint="eastAsia" w:ascii="仿宋_GB2312" w:eastAsia="仿宋_GB2312" w:cs="Times New Roman"/>
          <w:kern w:val="0"/>
          <w:sz w:val="32"/>
          <w:szCs w:val="32"/>
          <w:highlight w:val="none"/>
          <w:lang w:val="en-US" w:eastAsia="zh-CN"/>
        </w:rPr>
        <w:t>审议薪酬管理办法；</w:t>
      </w:r>
      <w:r>
        <w:rPr>
          <w:rFonts w:hint="eastAsia" w:ascii="仿宋_GB2312" w:hAnsi="Times New Roman" w:eastAsia="仿宋_GB2312" w:cs="Times New Roman"/>
          <w:kern w:val="0"/>
          <w:sz w:val="32"/>
          <w:szCs w:val="32"/>
          <w:highlight w:val="none"/>
        </w:rPr>
        <w:t>审议工资总额预算方案；</w:t>
      </w:r>
      <w:r>
        <w:rPr>
          <w:rFonts w:hint="eastAsia" w:ascii="仿宋_GB2312" w:eastAsia="仿宋_GB2312" w:cs="Times New Roman"/>
          <w:kern w:val="0"/>
          <w:sz w:val="32"/>
          <w:szCs w:val="32"/>
          <w:highlight w:val="none"/>
          <w:lang w:val="en-US" w:eastAsia="zh-CN"/>
        </w:rPr>
        <w:t>审定战略绩效考核指标和专项考核指标；</w:t>
      </w:r>
      <w:r>
        <w:rPr>
          <w:rFonts w:hint="eastAsia" w:ascii="仿宋_GB2312" w:hAnsi="Times New Roman" w:eastAsia="仿宋_GB2312" w:cs="Times New Roman"/>
          <w:kern w:val="0"/>
          <w:sz w:val="32"/>
          <w:szCs w:val="32"/>
          <w:highlight w:val="none"/>
        </w:rPr>
        <w:t>审</w:t>
      </w:r>
      <w:r>
        <w:rPr>
          <w:rFonts w:hint="eastAsia" w:ascii="仿宋_GB2312" w:eastAsia="仿宋_GB2312" w:cs="Times New Roman"/>
          <w:kern w:val="0"/>
          <w:sz w:val="32"/>
          <w:szCs w:val="32"/>
          <w:highlight w:val="none"/>
          <w:lang w:val="en-US" w:eastAsia="zh-CN"/>
        </w:rPr>
        <w:t>定</w:t>
      </w:r>
      <w:r>
        <w:rPr>
          <w:rFonts w:hint="eastAsia" w:ascii="仿宋_GB2312" w:hAnsi="Times New Roman" w:eastAsia="仿宋_GB2312" w:cs="Times New Roman"/>
          <w:kern w:val="0"/>
          <w:sz w:val="32"/>
          <w:szCs w:val="32"/>
          <w:highlight w:val="none"/>
        </w:rPr>
        <w:t>战略绩效考核评价报告</w:t>
      </w:r>
      <w:r>
        <w:rPr>
          <w:rFonts w:hint="eastAsia" w:ascii="仿宋_GB2312" w:eastAsia="仿宋_GB2312" w:cs="Times New Roman"/>
          <w:kern w:val="0"/>
          <w:sz w:val="32"/>
          <w:szCs w:val="32"/>
          <w:highlight w:val="none"/>
          <w:lang w:eastAsia="zh-CN"/>
        </w:rPr>
        <w:t>；</w:t>
      </w:r>
      <w:r>
        <w:rPr>
          <w:rFonts w:hint="eastAsia" w:ascii="仿宋_GB2312" w:eastAsia="仿宋_GB2312" w:cs="Times New Roman"/>
          <w:kern w:val="0"/>
          <w:sz w:val="32"/>
          <w:szCs w:val="32"/>
          <w:highlight w:val="none"/>
          <w:lang w:val="en-US" w:eastAsia="zh-CN"/>
        </w:rPr>
        <w:t>审定工资分配方案；</w:t>
      </w:r>
      <w:r>
        <w:rPr>
          <w:rFonts w:hint="eastAsia" w:ascii="仿宋_GB2312" w:hAnsi="Times New Roman" w:eastAsia="仿宋_GB2312" w:cs="Times New Roman"/>
          <w:kern w:val="0"/>
          <w:sz w:val="32"/>
          <w:szCs w:val="32"/>
          <w:highlight w:val="none"/>
        </w:rPr>
        <w:t>对绩效与薪酬管理的重大事项</w:t>
      </w:r>
      <w:r>
        <w:rPr>
          <w:rFonts w:hint="eastAsia" w:ascii="仿宋_GB2312" w:eastAsia="仿宋_GB2312" w:cs="Times New Roman"/>
          <w:kern w:val="0"/>
          <w:sz w:val="32"/>
          <w:szCs w:val="32"/>
          <w:highlight w:val="none"/>
          <w:lang w:val="en-US" w:eastAsia="zh-CN"/>
        </w:rPr>
        <w:t>作</w:t>
      </w:r>
      <w:r>
        <w:rPr>
          <w:rFonts w:hint="eastAsia" w:ascii="仿宋_GB2312" w:eastAsia="仿宋_GB2312" w:cs="Times New Roman"/>
          <w:kern w:val="0"/>
          <w:sz w:val="32"/>
          <w:szCs w:val="32"/>
          <w:highlight w:val="none"/>
          <w:lang w:eastAsia="zh-CN"/>
        </w:rPr>
        <w:t>出</w:t>
      </w:r>
      <w:r>
        <w:rPr>
          <w:rFonts w:hint="eastAsia" w:ascii="仿宋_GB2312" w:hAnsi="Times New Roman" w:eastAsia="仿宋_GB2312" w:cs="Times New Roman"/>
          <w:kern w:val="0"/>
          <w:sz w:val="32"/>
          <w:szCs w:val="32"/>
          <w:highlight w:val="none"/>
        </w:rPr>
        <w:t>决策等。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2.董事、监事、高级管理人员薪酬情况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鞍钢财务公司董事、监事均已在鞍钢集团有限公司及其下属企业领取职务薪酬，不额外在鞍钢财务公司领取工资、津贴等，具体薪酬标准按照其所在单位薪酬标准执行。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核定高级管理人员2022年度薪酬总额为175.08万元，延期支付合计74.72万元。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sz w:val="32"/>
          <w:szCs w:val="32"/>
          <w:highlight w:val="none"/>
          <w:lang w:val="en-US" w:eastAsia="zh-CN"/>
        </w:rPr>
        <w:t>八</w:t>
      </w:r>
      <w:r>
        <w:rPr>
          <w:rFonts w:hint="eastAsia" w:ascii="楷体_GB2312" w:hAnsi="楷体_GB2312" w:eastAsia="楷体_GB2312" w:cs="楷体_GB2312"/>
          <w:b/>
          <w:bCs/>
          <w:sz w:val="32"/>
          <w:szCs w:val="32"/>
          <w:highlight w:val="none"/>
        </w:rPr>
        <w:t>）部门设置</w:t>
      </w:r>
      <w:r>
        <w:rPr>
          <w:rFonts w:hint="eastAsia" w:ascii="楷体_GB2312" w:hAnsi="楷体_GB2312" w:eastAsia="楷体_GB2312" w:cs="楷体_GB2312"/>
          <w:b/>
          <w:bCs/>
          <w:sz w:val="32"/>
          <w:szCs w:val="32"/>
          <w:highlight w:val="none"/>
          <w:lang w:val="en-US" w:eastAsia="zh-CN"/>
        </w:rPr>
        <w:t>及分公司设置</w:t>
      </w:r>
      <w:r>
        <w:rPr>
          <w:rFonts w:hint="eastAsia" w:ascii="楷体_GB2312" w:hAnsi="楷体_GB2312" w:eastAsia="楷体_GB2312" w:cs="楷体_GB2312"/>
          <w:b/>
          <w:bCs/>
          <w:sz w:val="32"/>
          <w:szCs w:val="32"/>
          <w:highlight w:val="none"/>
        </w:rPr>
        <w:t>情况</w:t>
      </w:r>
      <w:bookmarkEnd w:id="49"/>
      <w:bookmarkEnd w:id="50"/>
      <w:bookmarkEnd w:id="5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鞍钢财务公司</w:t>
      </w:r>
      <w:r>
        <w:rPr>
          <w:rFonts w:hint="eastAsia" w:ascii="仿宋_GB2312" w:hAnsi="仿宋_GB2312" w:eastAsia="仿宋_GB2312" w:cs="仿宋_GB2312"/>
          <w:sz w:val="32"/>
          <w:szCs w:val="32"/>
          <w:highlight w:val="none"/>
        </w:rPr>
        <w:t>设</w:t>
      </w:r>
      <w:r>
        <w:rPr>
          <w:rFonts w:hint="eastAsia" w:ascii="仿宋_GB2312" w:hAnsi="仿宋_GB2312" w:eastAsia="仿宋_GB2312" w:cs="仿宋_GB2312"/>
          <w:sz w:val="32"/>
          <w:szCs w:val="32"/>
          <w:highlight w:val="none"/>
          <w:lang w:val="en-US" w:eastAsia="zh-CN"/>
        </w:rPr>
        <w:t>有9个管理及业务部门，分别为党委工作部（综合管理部）、公司业务部、金融市场部、结算业务部、风险控制部（法律合规部）、金融科技部、财务管理部、稽核管理部（纪委、党政督查办）、住房资金管理部（代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鞍钢财务公司设有1个四川分公司，四川分公司下设6个部门，分别为综合管理部、公司业务部、结算业务部、风险控制部（法律合规部）、财务管理部、稽核管理部。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lang w:val="en-US" w:eastAsia="zh-CN"/>
        </w:rPr>
        <w:t>九</w:t>
      </w: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rPr>
        <w:t>公司治理情况的整体评价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健全的公司治理是防范化解重大风险、实现长期稳健发展的重要基础和保障，</w:t>
      </w:r>
      <w:r>
        <w:rPr>
          <w:rFonts w:hint="eastAsia" w:ascii="仿宋_GB2312" w:hAnsi="仿宋_GB2312" w:eastAsia="仿宋_GB2312" w:cs="仿宋_GB2312"/>
          <w:sz w:val="32"/>
          <w:szCs w:val="32"/>
          <w:highlight w:val="none"/>
          <w:lang w:val="en-US" w:eastAsia="zh-CN"/>
        </w:rPr>
        <w:t>鞍钢财务公司</w:t>
      </w:r>
      <w:r>
        <w:rPr>
          <w:rFonts w:hint="eastAsia" w:ascii="仿宋_GB2312" w:hAnsi="仿宋_GB2312" w:eastAsia="仿宋_GB2312" w:cs="仿宋_GB2312"/>
          <w:sz w:val="32"/>
          <w:szCs w:val="32"/>
          <w:highlight w:val="none"/>
        </w:rPr>
        <w:t>一直努力致力于完善内部治理结构，提升公司治理水平的工作，并按照《中华人民共和国公司法》《中华人民共和国商业银行法》《银行保险机构公司治理准则》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企业集团财务公司管理办法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等法律法规要求，结合</w:t>
      </w:r>
      <w:r>
        <w:rPr>
          <w:rFonts w:hint="eastAsia" w:ascii="仿宋_GB2312" w:hAnsi="仿宋_GB2312" w:eastAsia="仿宋_GB2312" w:cs="仿宋_GB2312"/>
          <w:sz w:val="32"/>
          <w:szCs w:val="32"/>
          <w:highlight w:val="none"/>
          <w:lang w:val="en-US" w:eastAsia="zh-CN"/>
        </w:rPr>
        <w:t>鞍钢财务公司</w:t>
      </w:r>
      <w:r>
        <w:rPr>
          <w:rFonts w:hint="eastAsia" w:ascii="仿宋_GB2312" w:hAnsi="仿宋_GB2312" w:eastAsia="仿宋_GB2312" w:cs="仿宋_GB2312"/>
          <w:sz w:val="32"/>
          <w:szCs w:val="32"/>
          <w:highlight w:val="none"/>
        </w:rPr>
        <w:t>的实际情况，逐步建立了严格的</w:t>
      </w:r>
      <w:r>
        <w:rPr>
          <w:rFonts w:hint="eastAsia" w:ascii="仿宋_GB2312" w:hAnsi="仿宋_GB2312" w:eastAsia="仿宋_GB2312" w:cs="仿宋_GB2312"/>
          <w:sz w:val="32"/>
          <w:szCs w:val="32"/>
          <w:highlight w:val="none"/>
          <w:lang w:val="zh-CN" w:eastAsia="zh-CN"/>
        </w:rPr>
        <w:t>“三会</w:t>
      </w:r>
      <w:r>
        <w:rPr>
          <w:rFonts w:hint="eastAsia" w:ascii="仿宋_GB2312" w:hAnsi="仿宋_GB2312" w:eastAsia="仿宋_GB2312" w:cs="仿宋_GB2312"/>
          <w:sz w:val="32"/>
          <w:szCs w:val="32"/>
          <w:highlight w:val="none"/>
        </w:rPr>
        <w:t>一层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运作制度及明晰的授权体系，同时也加强了内部制度建设，切实增强风险抵御能力和经营可持续性。</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根据2022年公司治理工作整体情况评估，公司治理在党的领导、董监高</w:t>
      </w:r>
      <w:r>
        <w:rPr>
          <w:rFonts w:hint="eastAsia" w:ascii="仿宋_GB2312" w:hAnsi="仿宋_GB2312" w:eastAsia="仿宋_GB2312" w:cs="仿宋_GB2312"/>
          <w:sz w:val="32"/>
          <w:szCs w:val="32"/>
          <w:highlight w:val="none"/>
          <w:lang w:val="en-US" w:eastAsia="zh-CN"/>
        </w:rPr>
        <w:t>管理</w:t>
      </w:r>
      <w:r>
        <w:rPr>
          <w:rFonts w:hint="eastAsia" w:ascii="仿宋_GB2312" w:hAnsi="仿宋_GB2312" w:eastAsia="仿宋_GB2312" w:cs="仿宋_GB2312"/>
          <w:sz w:val="32"/>
          <w:szCs w:val="32"/>
          <w:highlight w:val="none"/>
        </w:rPr>
        <w:t>、风险内控、激励约束机制等方面均取得了较好成效，公司治理整体上符合法律法规及监管规定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但在股东治理、关联交易管理等方面还有提升空间。</w:t>
      </w:r>
    </w:p>
    <w:p>
      <w:pPr>
        <w:pStyle w:val="4"/>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textAlignment w:val="auto"/>
        <w:outlineLvl w:val="0"/>
        <w:rPr>
          <w:rFonts w:hint="eastAsia"/>
          <w:highlight w:val="none"/>
        </w:rPr>
      </w:pPr>
      <w:bookmarkStart w:id="52" w:name="bookmark84"/>
      <w:bookmarkStart w:id="53" w:name="bookmark85"/>
      <w:bookmarkStart w:id="54" w:name="bookmark82"/>
      <w:bookmarkStart w:id="55" w:name="_Toc15173"/>
      <w:bookmarkStart w:id="56" w:name="bookmark83"/>
      <w:r>
        <w:rPr>
          <w:rFonts w:hint="eastAsia"/>
          <w:highlight w:val="none"/>
        </w:rPr>
        <w:t>三</w:t>
      </w:r>
      <w:bookmarkEnd w:id="52"/>
      <w:r>
        <w:rPr>
          <w:rFonts w:hint="eastAsia"/>
          <w:highlight w:val="none"/>
        </w:rPr>
        <w:t>、风险管理信息</w:t>
      </w:r>
      <w:bookmarkEnd w:id="53"/>
      <w:bookmarkEnd w:id="54"/>
      <w:bookmarkEnd w:id="55"/>
      <w:bookmarkEnd w:id="56"/>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eastAsia="仿宋_GB2312"/>
          <w:sz w:val="32"/>
          <w:szCs w:val="22"/>
          <w:highlight w:val="none"/>
        </w:rPr>
      </w:pPr>
      <w:r>
        <w:rPr>
          <w:rFonts w:hint="eastAsia" w:ascii="仿宋_GB2312" w:eastAsia="仿宋_GB2312"/>
          <w:sz w:val="32"/>
          <w:szCs w:val="22"/>
          <w:highlight w:val="none"/>
        </w:rPr>
        <w:t>2022年，公司</w:t>
      </w:r>
      <w:r>
        <w:rPr>
          <w:rFonts w:hint="eastAsia" w:ascii="仿宋_GB2312" w:eastAsia="仿宋_GB2312"/>
          <w:sz w:val="32"/>
          <w:szCs w:val="22"/>
          <w:highlight w:val="none"/>
          <w:lang w:val="en-US" w:eastAsia="zh-CN"/>
        </w:rPr>
        <w:t>持续</w:t>
      </w:r>
      <w:r>
        <w:rPr>
          <w:rFonts w:hint="eastAsia" w:ascii="仿宋_GB2312" w:eastAsia="仿宋_GB2312"/>
          <w:sz w:val="32"/>
          <w:szCs w:val="22"/>
          <w:highlight w:val="none"/>
        </w:rPr>
        <w:t>以习近平新时代中国特色社会主义思想为指引，贯彻党中央防范化解重大风险决策部署和鞍钢集团防范化解重大风险工作安排，以“强内控、防风险、促合规”为管控目标，形成全面、全员、全过程、全体系的风险防控机制，将风险管理纳入公司发展战略总体布局，充分发挥董事会对全面风险管理的</w:t>
      </w:r>
      <w:r>
        <w:rPr>
          <w:rFonts w:hint="eastAsia" w:ascii="仿宋_GB2312" w:eastAsia="仿宋_GB2312"/>
          <w:sz w:val="32"/>
          <w:szCs w:val="22"/>
          <w:highlight w:val="none"/>
          <w:lang w:val="en-US" w:eastAsia="zh-CN"/>
        </w:rPr>
        <w:t>决策</w:t>
      </w:r>
      <w:r>
        <w:rPr>
          <w:rFonts w:hint="eastAsia" w:ascii="仿宋_GB2312" w:eastAsia="仿宋_GB2312"/>
          <w:sz w:val="32"/>
          <w:szCs w:val="22"/>
          <w:highlight w:val="none"/>
        </w:rPr>
        <w:t>作用，全面落实风险管理“三道防线”工作机制。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宋体" w:eastAsia="仿宋_GB2312"/>
          <w:sz w:val="32"/>
          <w:szCs w:val="32"/>
          <w:highlight w:val="none"/>
        </w:rPr>
        <w:t>公司以提升风险管控的价值创造能力为目标，以强化风险管控主体意识为着力点，</w:t>
      </w:r>
      <w:r>
        <w:rPr>
          <w:rFonts w:hint="eastAsia" w:ascii="仿宋_GB2312" w:hAnsi="仿宋_GB2312" w:eastAsia="仿宋_GB2312" w:cs="仿宋_GB2312"/>
          <w:b w:val="0"/>
          <w:bCs w:val="0"/>
          <w:i w:val="0"/>
          <w:iCs w:val="0"/>
          <w:caps w:val="0"/>
          <w:color w:val="auto"/>
          <w:spacing w:val="0"/>
          <w:kern w:val="2"/>
          <w:sz w:val="32"/>
          <w:szCs w:val="32"/>
          <w:highlight w:val="none"/>
          <w:shd w:val="clear" w:color="auto" w:fill="FFFFFF"/>
          <w:lang w:val="en-US" w:eastAsia="zh-CN" w:bidi="ar-SA"/>
        </w:rPr>
        <w:t>以运行风险监测预警报告机制为主线，</w:t>
      </w:r>
      <w:r>
        <w:rPr>
          <w:rFonts w:hint="eastAsia" w:ascii="仿宋_GB2312" w:hAnsi="宋体" w:eastAsia="仿宋_GB2312"/>
          <w:sz w:val="32"/>
          <w:szCs w:val="32"/>
          <w:highlight w:val="none"/>
        </w:rPr>
        <w:t>提高风险研判能力，增强驾驭风险本领，健全风险防控机制，防范化解各类重大风险，</w:t>
      </w:r>
      <w:r>
        <w:rPr>
          <w:rFonts w:hint="eastAsia" w:ascii="仿宋_GB2312" w:eastAsia="仿宋_GB2312"/>
          <w:sz w:val="32"/>
          <w:highlight w:val="none"/>
        </w:rPr>
        <w:t>坚守不发生系统性、颠覆性风险底线。202</w:t>
      </w:r>
      <w:r>
        <w:rPr>
          <w:rFonts w:hint="eastAsia" w:ascii="仿宋_GB2312" w:eastAsia="仿宋_GB2312"/>
          <w:sz w:val="32"/>
          <w:highlight w:val="none"/>
          <w:lang w:val="en-US" w:eastAsia="zh-CN"/>
        </w:rPr>
        <w:t>2</w:t>
      </w:r>
      <w:r>
        <w:rPr>
          <w:rFonts w:hint="eastAsia" w:ascii="仿宋_GB2312" w:hAnsi="宋体" w:eastAsia="仿宋_GB2312"/>
          <w:sz w:val="32"/>
          <w:szCs w:val="32"/>
          <w:highlight w:val="none"/>
        </w:rPr>
        <w:t>年，公司</w:t>
      </w:r>
      <w:r>
        <w:rPr>
          <w:rFonts w:hint="eastAsia" w:ascii="仿宋_GB2312" w:hAnsi="华文仿宋" w:eastAsia="仿宋_GB2312"/>
          <w:sz w:val="32"/>
          <w:szCs w:val="32"/>
          <w:highlight w:val="none"/>
        </w:rPr>
        <w:t>实现各项业务合规经营，无重大风险事件发生</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一是严格控制重点领域信用风险</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sz w:val="32"/>
          <w:szCs w:val="32"/>
          <w:highlight w:val="none"/>
          <w:lang w:val="en-US" w:eastAsia="zh-CN"/>
        </w:rPr>
        <w:t>充分</w:t>
      </w:r>
      <w:r>
        <w:rPr>
          <w:rFonts w:hint="eastAsia" w:ascii="仿宋_GB2312" w:hAnsi="仿宋_GB2312" w:eastAsia="仿宋_GB2312" w:cs="仿宋_GB2312"/>
          <w:sz w:val="32"/>
          <w:szCs w:val="32"/>
          <w:highlight w:val="none"/>
        </w:rPr>
        <w:t>贯彻执行资产风险分类相关规定，</w:t>
      </w:r>
      <w:r>
        <w:rPr>
          <w:rFonts w:hint="eastAsia" w:ascii="仿宋_GB2312" w:hAnsi="仿宋_GB2312" w:eastAsia="仿宋_GB2312" w:cs="仿宋_GB2312"/>
          <w:sz w:val="32"/>
          <w:szCs w:val="32"/>
          <w:highlight w:val="none"/>
          <w:lang w:val="en-US" w:eastAsia="zh-CN"/>
        </w:rPr>
        <w:t>不断</w:t>
      </w:r>
      <w:r>
        <w:rPr>
          <w:rFonts w:hint="eastAsia" w:ascii="仿宋_GB2312" w:hAnsi="仿宋_GB2312" w:eastAsia="仿宋_GB2312" w:cs="仿宋_GB2312"/>
          <w:sz w:val="32"/>
          <w:szCs w:val="32"/>
          <w:highlight w:val="none"/>
        </w:rPr>
        <w:t>提升信贷业务全流程风险</w:t>
      </w:r>
      <w:r>
        <w:rPr>
          <w:rFonts w:hint="eastAsia" w:ascii="仿宋_GB2312" w:hAnsi="仿宋_GB2312" w:eastAsia="仿宋_GB2312" w:cs="仿宋_GB2312"/>
          <w:sz w:val="32"/>
          <w:szCs w:val="32"/>
          <w:highlight w:val="none"/>
          <w:lang w:val="en-US" w:eastAsia="zh-CN"/>
        </w:rPr>
        <w:t>管</w:t>
      </w:r>
      <w:r>
        <w:rPr>
          <w:rFonts w:hint="eastAsia" w:ascii="仿宋_GB2312" w:hAnsi="仿宋_GB2312" w:eastAsia="仿宋_GB2312" w:cs="仿宋_GB2312"/>
          <w:sz w:val="32"/>
          <w:szCs w:val="32"/>
          <w:highlight w:val="none"/>
        </w:rPr>
        <w:t>控与监督水平，</w:t>
      </w:r>
      <w:r>
        <w:rPr>
          <w:rFonts w:hint="eastAsia" w:ascii="仿宋_GB2312" w:hAnsi="仿宋_GB2312" w:eastAsia="仿宋_GB2312" w:cs="仿宋_GB2312"/>
          <w:sz w:val="32"/>
          <w:szCs w:val="32"/>
          <w:highlight w:val="none"/>
          <w:lang w:val="en-US" w:eastAsia="zh-CN"/>
        </w:rPr>
        <w:t>切实</w:t>
      </w:r>
      <w:r>
        <w:rPr>
          <w:rFonts w:hint="eastAsia" w:ascii="仿宋_GB2312" w:hAnsi="仿宋_GB2312" w:eastAsia="仿宋_GB2312" w:cs="仿宋_GB2312"/>
          <w:sz w:val="32"/>
          <w:szCs w:val="32"/>
          <w:highlight w:val="none"/>
        </w:rPr>
        <w:t>强化信用风险管理。截至2022年12月</w:t>
      </w:r>
      <w:r>
        <w:rPr>
          <w:rFonts w:hint="eastAsia" w:ascii="仿宋_GB2312" w:hAnsi="仿宋_GB2312" w:eastAsia="仿宋_GB2312" w:cs="仿宋_GB2312"/>
          <w:sz w:val="32"/>
          <w:szCs w:val="32"/>
          <w:highlight w:val="none"/>
          <w:lang w:val="en-US" w:eastAsia="zh-CN"/>
        </w:rPr>
        <w:t>末</w:t>
      </w:r>
      <w:r>
        <w:rPr>
          <w:rFonts w:hint="eastAsia" w:ascii="仿宋_GB2312" w:hAnsi="仿宋_GB2312" w:eastAsia="仿宋_GB2312" w:cs="仿宋_GB2312"/>
          <w:sz w:val="32"/>
          <w:szCs w:val="32"/>
          <w:highlight w:val="none"/>
        </w:rPr>
        <w:t>，公司不良资产率</w:t>
      </w:r>
      <w:r>
        <w:rPr>
          <w:rFonts w:hint="eastAsia" w:ascii="仿宋_GB2312" w:hAnsi="仿宋_GB2312" w:eastAsia="仿宋_GB2312" w:cs="仿宋_GB2312"/>
          <w:sz w:val="32"/>
          <w:szCs w:val="32"/>
          <w:highlight w:val="none"/>
          <w:lang w:val="en-US" w:eastAsia="zh-CN"/>
        </w:rPr>
        <w:t>为</w:t>
      </w:r>
      <w:r>
        <w:rPr>
          <w:rFonts w:hint="eastAsia" w:ascii="仿宋_GB2312" w:hAnsi="仿宋_GB2312" w:eastAsia="仿宋_GB2312" w:cs="仿宋_GB2312"/>
          <w:sz w:val="32"/>
          <w:szCs w:val="32"/>
          <w:highlight w:val="none"/>
          <w:lang w:val="en-US" w:eastAsia="en-US"/>
        </w:rPr>
        <w:t>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信用风险可控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sz w:val="32"/>
          <w:szCs w:val="32"/>
          <w:highlight w:val="none"/>
        </w:rPr>
        <w:t>二是</w:t>
      </w:r>
      <w:r>
        <w:rPr>
          <w:rFonts w:hint="eastAsia" w:ascii="仿宋_GB2312" w:hAnsi="仿宋_GB2312" w:eastAsia="仿宋_GB2312" w:cs="仿宋_GB2312"/>
          <w:b/>
          <w:bCs/>
          <w:sz w:val="32"/>
          <w:szCs w:val="32"/>
          <w:highlight w:val="none"/>
          <w:lang w:val="en-US" w:eastAsia="zh-CN"/>
        </w:rPr>
        <w:t>强化流动性风险管控。</w:t>
      </w:r>
      <w:r>
        <w:rPr>
          <w:rFonts w:hint="eastAsia" w:ascii="仿宋_GB2312" w:hAnsi="仿宋_GB2312" w:eastAsia="仿宋_GB2312" w:cs="仿宋_GB2312"/>
          <w:sz w:val="32"/>
          <w:szCs w:val="32"/>
          <w:highlight w:val="none"/>
          <w:lang w:val="en-US" w:eastAsia="zh-CN"/>
        </w:rPr>
        <w:t>严格按照</w:t>
      </w:r>
      <w:r>
        <w:rPr>
          <w:rFonts w:hint="eastAsia" w:ascii="仿宋_GB2312" w:hAnsi="仿宋_GB2312" w:eastAsia="仿宋_GB2312" w:cs="仿宋_GB2312"/>
          <w:sz w:val="32"/>
          <w:szCs w:val="32"/>
          <w:highlight w:val="none"/>
        </w:rPr>
        <w:t>金融监管政策</w:t>
      </w:r>
      <w:r>
        <w:rPr>
          <w:rFonts w:hint="eastAsia" w:ascii="仿宋_GB2312" w:hAnsi="仿宋_GB2312" w:eastAsia="仿宋_GB2312" w:cs="仿宋_GB2312"/>
          <w:sz w:val="32"/>
          <w:szCs w:val="32"/>
          <w:highlight w:val="none"/>
          <w:lang w:val="en-US" w:eastAsia="zh-CN"/>
        </w:rPr>
        <w:t>要求，</w:t>
      </w:r>
      <w:r>
        <w:rPr>
          <w:rFonts w:hint="eastAsia" w:ascii="仿宋_GB2312" w:hAnsi="仿宋_GB2312" w:eastAsia="仿宋_GB2312" w:cs="仿宋_GB2312"/>
          <w:sz w:val="32"/>
          <w:szCs w:val="32"/>
          <w:highlight w:val="none"/>
        </w:rPr>
        <w:t>制定与自身</w:t>
      </w:r>
      <w:r>
        <w:rPr>
          <w:rFonts w:hint="eastAsia" w:ascii="仿宋_GB2312" w:hAnsi="仿宋_GB2312" w:eastAsia="仿宋_GB2312" w:cs="仿宋_GB2312"/>
          <w:sz w:val="32"/>
          <w:szCs w:val="32"/>
          <w:highlight w:val="none"/>
          <w:lang w:val="en-US" w:eastAsia="zh-CN"/>
        </w:rPr>
        <w:t>经营特点</w:t>
      </w:r>
      <w:r>
        <w:rPr>
          <w:rFonts w:hint="eastAsia" w:ascii="仿宋_GB2312" w:hAnsi="仿宋_GB2312" w:eastAsia="仿宋_GB2312" w:cs="仿宋_GB2312"/>
          <w:sz w:val="32"/>
          <w:szCs w:val="32"/>
          <w:highlight w:val="none"/>
        </w:rPr>
        <w:t>相适应的流动性管理策略，</w:t>
      </w:r>
      <w:r>
        <w:rPr>
          <w:rFonts w:hint="eastAsia" w:ascii="仿宋_GB2312" w:hAnsi="仿宋_GB2312" w:eastAsia="仿宋_GB2312" w:cs="仿宋_GB2312"/>
          <w:sz w:val="32"/>
          <w:szCs w:val="32"/>
          <w:highlight w:val="none"/>
          <w:lang w:val="en-US" w:eastAsia="zh-CN"/>
        </w:rPr>
        <w:t>并按照既定工作职责与管理权限组织实施，</w:t>
      </w:r>
      <w:r>
        <w:rPr>
          <w:rFonts w:hint="eastAsia" w:ascii="仿宋_GB2312" w:hAnsi="仿宋_GB2312" w:eastAsia="仿宋_GB2312" w:cs="仿宋_GB2312"/>
          <w:sz w:val="32"/>
          <w:szCs w:val="32"/>
          <w:highlight w:val="none"/>
        </w:rPr>
        <w:t>保持</w:t>
      </w:r>
      <w:r>
        <w:rPr>
          <w:rFonts w:hint="eastAsia" w:ascii="仿宋_GB2312" w:hAnsi="仿宋_GB2312" w:eastAsia="仿宋_GB2312" w:cs="仿宋_GB2312"/>
          <w:sz w:val="32"/>
          <w:szCs w:val="32"/>
          <w:highlight w:val="none"/>
          <w:lang w:val="en-US" w:eastAsia="zh-CN"/>
        </w:rPr>
        <w:t>良好的</w:t>
      </w:r>
      <w:r>
        <w:rPr>
          <w:rFonts w:hint="eastAsia" w:ascii="仿宋_GB2312" w:hAnsi="仿宋_GB2312" w:eastAsia="仿宋_GB2312" w:cs="仿宋_GB2312"/>
          <w:sz w:val="32"/>
          <w:szCs w:val="32"/>
          <w:highlight w:val="none"/>
        </w:rPr>
        <w:t>流动性水平</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截至2022年12月</w:t>
      </w:r>
      <w:r>
        <w:rPr>
          <w:rFonts w:hint="eastAsia" w:ascii="仿宋_GB2312" w:hAnsi="仿宋_GB2312" w:eastAsia="仿宋_GB2312" w:cs="仿宋_GB2312"/>
          <w:sz w:val="32"/>
          <w:szCs w:val="32"/>
          <w:highlight w:val="none"/>
          <w:lang w:val="en-US" w:eastAsia="zh-CN"/>
        </w:rPr>
        <w:t>末</w:t>
      </w:r>
      <w:r>
        <w:rPr>
          <w:rFonts w:hint="eastAsia" w:ascii="仿宋_GB2312" w:hAnsi="仿宋_GB2312" w:eastAsia="仿宋_GB2312" w:cs="仿宋_GB2312"/>
          <w:sz w:val="32"/>
          <w:szCs w:val="32"/>
          <w:highlight w:val="none"/>
        </w:rPr>
        <w:t>，公司流动性比例达50.86%，流动性监管指标达标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color w:val="auto"/>
          <w:sz w:val="32"/>
          <w:szCs w:val="32"/>
          <w:highlight w:val="none"/>
        </w:rPr>
        <w:t>三是以稳健为导向开展投资业务</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rPr>
        <w:t>严格按照</w:t>
      </w:r>
      <w:r>
        <w:rPr>
          <w:rFonts w:hint="eastAsia" w:ascii="仿宋_GB2312" w:hAnsi="仿宋_GB2312" w:eastAsia="仿宋_GB2312" w:cs="仿宋_GB2312"/>
          <w:color w:val="auto"/>
          <w:sz w:val="32"/>
          <w:szCs w:val="32"/>
          <w:highlight w:val="none"/>
          <w:lang w:val="en-US" w:eastAsia="zh-CN"/>
        </w:rPr>
        <w:t>公司内控制度及相关管理规定开展固定收益类投资业务，</w:t>
      </w:r>
      <w:r>
        <w:rPr>
          <w:rFonts w:hint="eastAsia" w:ascii="仿宋_GB2312" w:hAnsi="Times New Roman" w:eastAsia="仿宋_GB2312" w:cs="Times New Roman"/>
          <w:color w:val="auto"/>
          <w:sz w:val="32"/>
          <w:szCs w:val="22"/>
          <w:highlight w:val="none"/>
        </w:rPr>
        <w:t>主要投资利率债和高等级信用债等安全性较高的品种，严格控制投资品种限额，同时分散投资构建投资组合，以控制投资整体风险。设置止损点，到价进行提醒。根据《鞍钢集团财务有限责任公司金融投资业务风险控制管理办法》止损点位，在万得金融终端对投资标的进行止损点位设置，到价进行提醒。</w:t>
      </w:r>
      <w:r>
        <w:rPr>
          <w:rFonts w:hint="eastAsia" w:ascii="仿宋_GB2312" w:hAnsi="仿宋_GB2312" w:eastAsia="仿宋_GB2312" w:cs="仿宋_GB2312"/>
          <w:color w:val="auto"/>
          <w:sz w:val="32"/>
          <w:szCs w:val="32"/>
          <w:highlight w:val="none"/>
        </w:rPr>
        <w:t>截至2022年12月，公司投资账面余额仅占资产总额的</w:t>
      </w:r>
      <w:r>
        <w:rPr>
          <w:rFonts w:hint="eastAsia" w:ascii="仿宋_GB2312" w:hAnsi="仿宋_GB2312" w:eastAsia="仿宋_GB2312" w:cs="仿宋_GB2312"/>
          <w:color w:val="auto"/>
          <w:sz w:val="32"/>
          <w:szCs w:val="32"/>
          <w:highlight w:val="none"/>
          <w:lang w:val="en-US" w:eastAsia="zh-CN"/>
        </w:rPr>
        <w:t>4.76%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sz w:val="32"/>
          <w:szCs w:val="32"/>
          <w:highlight w:val="none"/>
        </w:rPr>
        <w:t>四是持续完善操作风险</w:t>
      </w:r>
      <w:r>
        <w:rPr>
          <w:rFonts w:hint="eastAsia" w:ascii="仿宋_GB2312" w:hAnsi="仿宋_GB2312" w:eastAsia="仿宋_GB2312" w:cs="仿宋_GB2312"/>
          <w:b/>
          <w:bCs/>
          <w:sz w:val="32"/>
          <w:szCs w:val="32"/>
          <w:highlight w:val="none"/>
          <w:lang w:val="en-US" w:eastAsia="zh-CN"/>
        </w:rPr>
        <w:t>管理机制。</w:t>
      </w:r>
      <w:r>
        <w:rPr>
          <w:rFonts w:hint="eastAsia" w:ascii="仿宋_GB2312" w:hAnsi="Times New Roman" w:eastAsia="仿宋_GB2312" w:cs="Times New Roman"/>
          <w:b w:val="0"/>
          <w:bCs w:val="0"/>
          <w:kern w:val="2"/>
          <w:sz w:val="32"/>
          <w:szCs w:val="22"/>
          <w:highlight w:val="none"/>
          <w:lang w:val="en-US" w:eastAsia="zh-CN" w:bidi="ar-SA"/>
        </w:rPr>
        <w:t>严格执行公司各项规章制度，业务开展按照权限执行审批流程，杜绝单人操作。严格执行密码及密钥管理规定，定期更换，防范信息系统安全引发的操作风险。严格执行《鞍钢集团财务有限责任公司业务系统授权管理办法》，明确部门职责和授权流程，实现科学合理对系统操作人员进行系统授权，防范系统操作风险</w:t>
      </w:r>
      <w:r>
        <w:rPr>
          <w:rFonts w:hint="eastAsia" w:ascii="仿宋_GB2312" w:eastAsia="仿宋_GB2312" w:cs="Times New Roman"/>
          <w:b w:val="0"/>
          <w:bCs w:val="0"/>
          <w:kern w:val="2"/>
          <w:sz w:val="32"/>
          <w:szCs w:val="22"/>
          <w:highlight w:val="none"/>
          <w:lang w:val="en-US" w:eastAsia="zh-CN" w:bidi="ar-SA"/>
        </w:rPr>
        <w:t>。</w:t>
      </w:r>
      <w:r>
        <w:rPr>
          <w:rFonts w:hint="eastAsia" w:ascii="仿宋_GB2312" w:hAnsi="仿宋_GB2312" w:eastAsia="仿宋_GB2312" w:cs="仿宋_GB2312"/>
          <w:b/>
          <w:bCs/>
          <w:sz w:val="32"/>
          <w:szCs w:val="32"/>
          <w:highlight w:val="none"/>
        </w:rPr>
        <w:t>五是强化信息科技风险管理</w:t>
      </w:r>
      <w:r>
        <w:rPr>
          <w:rFonts w:hint="eastAsia" w:ascii="仿宋_GB2312" w:hAnsi="仿宋_GB2312" w:eastAsia="仿宋_GB2312" w:cs="仿宋_GB2312"/>
          <w:b/>
          <w:bCs/>
          <w:sz w:val="32"/>
          <w:szCs w:val="32"/>
          <w:highlight w:val="none"/>
          <w:lang w:eastAsia="zh-CN"/>
        </w:rPr>
        <w:t>。</w:t>
      </w:r>
      <w:r>
        <w:rPr>
          <w:rFonts w:hint="eastAsia" w:ascii="仿宋_GB2312" w:hAnsi="Times New Roman" w:eastAsia="仿宋_GB2312" w:cs="Times New Roman"/>
          <w:b w:val="0"/>
          <w:bCs w:val="0"/>
          <w:kern w:val="2"/>
          <w:sz w:val="32"/>
          <w:szCs w:val="22"/>
          <w:highlight w:val="none"/>
          <w:lang w:val="en-US" w:eastAsia="zh-CN" w:bidi="ar-SA"/>
        </w:rPr>
        <w:t>科学设置安全策略，及时更新操作系统安全补丁和杀毒软件，采取针对性的病毒防护措施。持续开展重要时期网络安全保障，组织网络安全服务单位对防火墙、交换机、路由器重新配置安全策略；杀毒软件定期更新补丁</w:t>
      </w:r>
      <w:r>
        <w:rPr>
          <w:rFonts w:hint="eastAsia" w:ascii="仿宋_GB2312" w:eastAsia="仿宋_GB2312" w:cs="Times New Roman"/>
          <w:b w:val="0"/>
          <w:bCs w:val="0"/>
          <w:kern w:val="2"/>
          <w:sz w:val="32"/>
          <w:szCs w:val="22"/>
          <w:highlight w:val="none"/>
          <w:lang w:val="en-US" w:eastAsia="zh-CN" w:bidi="ar-SA"/>
        </w:rPr>
        <w:t>，</w:t>
      </w:r>
      <w:r>
        <w:rPr>
          <w:rFonts w:hint="eastAsia" w:ascii="仿宋_GB2312" w:hAnsi="Times New Roman" w:eastAsia="仿宋_GB2312" w:cs="Times New Roman"/>
          <w:b w:val="0"/>
          <w:bCs w:val="0"/>
          <w:kern w:val="2"/>
          <w:sz w:val="32"/>
          <w:szCs w:val="22"/>
          <w:highlight w:val="none"/>
          <w:lang w:val="en-US" w:eastAsia="zh-CN" w:bidi="ar-SA"/>
        </w:rPr>
        <w:t>更新操作系统安全补丁及数据库补丁，确保系统安全</w:t>
      </w:r>
      <w:r>
        <w:rPr>
          <w:rFonts w:hint="eastAsia" w:ascii="仿宋_GB2312" w:eastAsia="仿宋_GB2312" w:cs="Times New Roman"/>
          <w:b w:val="0"/>
          <w:bCs w:val="0"/>
          <w:kern w:val="2"/>
          <w:sz w:val="32"/>
          <w:szCs w:val="22"/>
          <w:highlight w:val="none"/>
          <w:lang w:val="en-US" w:eastAsia="zh-CN" w:bidi="ar-SA"/>
        </w:rPr>
        <w:t>。</w:t>
      </w:r>
      <w:r>
        <w:rPr>
          <w:rFonts w:hint="eastAsia" w:ascii="仿宋_GB2312" w:hAnsi="仿宋_GB2312" w:eastAsia="仿宋_GB2312" w:cs="仿宋_GB2312"/>
          <w:b/>
          <w:bCs/>
          <w:sz w:val="32"/>
          <w:szCs w:val="32"/>
          <w:highlight w:val="none"/>
        </w:rPr>
        <w:t>六是</w:t>
      </w:r>
      <w:r>
        <w:rPr>
          <w:rFonts w:hint="eastAsia" w:ascii="仿宋_GB2312" w:hAnsi="Times New Roman" w:eastAsia="仿宋_GB2312" w:cs="Times New Roman"/>
          <w:b/>
          <w:bCs/>
          <w:sz w:val="32"/>
          <w:szCs w:val="22"/>
          <w:highlight w:val="none"/>
        </w:rPr>
        <w:t>深化合规</w:t>
      </w:r>
      <w:r>
        <w:rPr>
          <w:rFonts w:hint="eastAsia" w:ascii="仿宋_GB2312" w:hAnsi="Times New Roman" w:eastAsia="仿宋_GB2312" w:cs="Times New Roman"/>
          <w:b/>
          <w:bCs/>
          <w:sz w:val="32"/>
          <w:szCs w:val="22"/>
          <w:highlight w:val="none"/>
          <w:lang w:val="en-US" w:eastAsia="zh-CN"/>
        </w:rPr>
        <w:t>风险</w:t>
      </w:r>
      <w:r>
        <w:rPr>
          <w:rFonts w:hint="eastAsia" w:ascii="仿宋_GB2312" w:hAnsi="Times New Roman" w:eastAsia="仿宋_GB2312" w:cs="Times New Roman"/>
          <w:b/>
          <w:bCs/>
          <w:sz w:val="32"/>
          <w:szCs w:val="22"/>
          <w:highlight w:val="none"/>
        </w:rPr>
        <w:t>管理体系建设</w:t>
      </w:r>
      <w:r>
        <w:rPr>
          <w:rFonts w:hint="eastAsia" w:ascii="仿宋_GB2312" w:hAnsi="Times New Roman" w:eastAsia="仿宋_GB2312" w:cs="Times New Roman"/>
          <w:b/>
          <w:bCs/>
          <w:sz w:val="32"/>
          <w:szCs w:val="22"/>
          <w:highlight w:val="none"/>
          <w:lang w:eastAsia="zh-CN"/>
        </w:rPr>
        <w:t>。</w:t>
      </w:r>
      <w:r>
        <w:rPr>
          <w:rFonts w:hint="eastAsia" w:ascii="仿宋_GB2312" w:hAnsi="Times New Roman" w:eastAsia="仿宋_GB2312" w:cs="Times New Roman"/>
          <w:sz w:val="32"/>
          <w:szCs w:val="22"/>
          <w:highlight w:val="none"/>
        </w:rPr>
        <w:t>运行“六位一体”合规管理机制</w:t>
      </w:r>
      <w:r>
        <w:rPr>
          <w:rFonts w:hint="eastAsia" w:ascii="仿宋_GB2312" w:eastAsia="仿宋_GB2312" w:cs="Times New Roman"/>
          <w:sz w:val="32"/>
          <w:szCs w:val="22"/>
          <w:highlight w:val="none"/>
          <w:lang w:eastAsia="zh-CN"/>
        </w:rPr>
        <w:t>，</w:t>
      </w:r>
      <w:r>
        <w:rPr>
          <w:rFonts w:hint="eastAsia" w:ascii="仿宋_GB2312" w:hAnsi="Times New Roman" w:eastAsia="仿宋_GB2312" w:cs="Times New Roman"/>
          <w:sz w:val="32"/>
          <w:szCs w:val="22"/>
          <w:highlight w:val="none"/>
        </w:rPr>
        <w:t>夯实完善组织领导体系，强化“三道防线”运行机制，推动“风险内控合规”一体化运行</w:t>
      </w:r>
      <w:r>
        <w:rPr>
          <w:rFonts w:hint="eastAsia" w:ascii="仿宋_GB2312" w:hAnsi="Times New Roman" w:eastAsia="仿宋_GB2312" w:cs="Times New Roman"/>
          <w:sz w:val="32"/>
          <w:szCs w:val="22"/>
          <w:highlight w:val="none"/>
          <w:lang w:eastAsia="zh-CN"/>
        </w:rPr>
        <w:t>，</w:t>
      </w:r>
      <w:r>
        <w:rPr>
          <w:rFonts w:hint="eastAsia" w:ascii="仿宋_GB2312" w:hAnsi="Times New Roman" w:eastAsia="仿宋_GB2312" w:cs="Times New Roman"/>
          <w:sz w:val="32"/>
          <w:szCs w:val="22"/>
          <w:highlight w:val="none"/>
          <w:lang w:val="en-US" w:eastAsia="zh-CN"/>
        </w:rPr>
        <w:t>全年无合规风险事件发生</w:t>
      </w:r>
      <w:r>
        <w:rPr>
          <w:rFonts w:hint="eastAsia" w:ascii="仿宋_GB2312" w:eastAsia="仿宋_GB2312" w:cs="Times New Roman"/>
          <w:sz w:val="32"/>
          <w:szCs w:val="22"/>
          <w:highlight w:val="none"/>
          <w:lang w:val="en-US" w:eastAsia="zh-CN"/>
        </w:rPr>
        <w:t>。</w:t>
      </w:r>
      <w:r>
        <w:rPr>
          <w:rFonts w:hint="eastAsia" w:ascii="仿宋_GB2312" w:hAnsi="仿宋_GB2312" w:eastAsia="仿宋_GB2312" w:cs="仿宋_GB2312"/>
          <w:b/>
          <w:bCs/>
          <w:sz w:val="32"/>
          <w:szCs w:val="32"/>
          <w:highlight w:val="none"/>
        </w:rPr>
        <w:t>七是按照</w:t>
      </w:r>
      <w:r>
        <w:rPr>
          <w:rFonts w:hint="eastAsia" w:ascii="仿宋_GB2312" w:hAnsi="仿宋_GB2312" w:eastAsia="仿宋_GB2312" w:cs="仿宋_GB2312"/>
          <w:b/>
          <w:bCs/>
          <w:sz w:val="32"/>
          <w:szCs w:val="32"/>
          <w:highlight w:val="none"/>
          <w:lang w:val="zh-CN" w:eastAsia="zh-CN"/>
        </w:rPr>
        <w:t>“预防</w:t>
      </w:r>
      <w:r>
        <w:rPr>
          <w:rFonts w:hint="eastAsia" w:ascii="仿宋_GB2312" w:hAnsi="仿宋_GB2312" w:eastAsia="仿宋_GB2312" w:cs="仿宋_GB2312"/>
          <w:b/>
          <w:bCs/>
          <w:sz w:val="32"/>
          <w:szCs w:val="32"/>
          <w:highlight w:val="none"/>
        </w:rPr>
        <w:t>为主、重点防范”的原则，</w:t>
      </w:r>
      <w:r>
        <w:rPr>
          <w:rFonts w:hint="eastAsia" w:ascii="仿宋_GB2312" w:hAnsi="仿宋_GB2312" w:eastAsia="仿宋_GB2312" w:cs="仿宋_GB2312"/>
          <w:b/>
          <w:bCs/>
          <w:sz w:val="32"/>
          <w:szCs w:val="32"/>
          <w:highlight w:val="none"/>
          <w:lang w:val="en-US" w:eastAsia="zh-CN"/>
        </w:rPr>
        <w:t>公司</w:t>
      </w:r>
      <w:r>
        <w:rPr>
          <w:rFonts w:hint="eastAsia" w:ascii="仿宋_GB2312" w:hAnsi="仿宋_GB2312" w:eastAsia="仿宋_GB2312" w:cs="仿宋_GB2312"/>
          <w:b/>
          <w:bCs/>
          <w:sz w:val="32"/>
          <w:szCs w:val="32"/>
          <w:highlight w:val="none"/>
        </w:rPr>
        <w:t>2022年未发生声誉风险事件</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rPr>
        <w:t>八是</w:t>
      </w:r>
      <w:r>
        <w:rPr>
          <w:rFonts w:hint="eastAsia" w:ascii="仿宋_GB2312" w:hAnsi="仿宋_GB2312" w:eastAsia="仿宋_GB2312" w:cs="仿宋_GB2312"/>
          <w:b/>
          <w:bCs/>
          <w:i w:val="0"/>
          <w:iCs w:val="0"/>
          <w:caps w:val="0"/>
          <w:color w:val="auto"/>
          <w:spacing w:val="0"/>
          <w:kern w:val="2"/>
          <w:sz w:val="32"/>
          <w:szCs w:val="32"/>
          <w:highlight w:val="none"/>
          <w:shd w:val="clear" w:fill="FFFFFF"/>
          <w:lang w:val="en-US" w:eastAsia="zh-CN" w:bidi="ar-SA"/>
        </w:rPr>
        <w:t>积极落实人民银行反洗钱工作要求。</w:t>
      </w:r>
      <w:r>
        <w:rPr>
          <w:rFonts w:hint="eastAsia" w:ascii="仿宋_GB2312" w:hAnsi="仿宋_GB2312" w:eastAsia="仿宋_GB2312" w:cs="仿宋_GB2312"/>
          <w:b w:val="0"/>
          <w:bCs w:val="0"/>
          <w:i w:val="0"/>
          <w:iCs w:val="0"/>
          <w:caps w:val="0"/>
          <w:color w:val="auto"/>
          <w:spacing w:val="0"/>
          <w:kern w:val="2"/>
          <w:sz w:val="32"/>
          <w:szCs w:val="32"/>
          <w:highlight w:val="none"/>
          <w:shd w:val="clear" w:fill="FFFFFF"/>
          <w:lang w:val="en-US" w:eastAsia="zh-CN" w:bidi="ar-SA"/>
        </w:rPr>
        <w:t>完成反洗钱年度工作报告，组织相关部门开展洗钱风险自评估工作，完成公司《控制措施有效性评估表》《固有风险评估表》，形成公司《洗钱风险自评估工作报告》。开展反洗钱宣传活动，制定公司《反洗钱宣传活动方案》和《反洗钱宣传活动总结报告》。</w:t>
      </w:r>
    </w:p>
    <w:p>
      <w:pPr>
        <w:pStyle w:val="4"/>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textAlignment w:val="auto"/>
        <w:outlineLvl w:val="0"/>
        <w:rPr>
          <w:rFonts w:hint="eastAsia"/>
          <w:highlight w:val="none"/>
        </w:rPr>
      </w:pPr>
      <w:bookmarkStart w:id="57" w:name="bookmark88"/>
      <w:bookmarkStart w:id="58" w:name="bookmark89"/>
      <w:bookmarkStart w:id="59" w:name="_Toc7676"/>
      <w:bookmarkStart w:id="60" w:name="bookmark86"/>
      <w:bookmarkStart w:id="61" w:name="bookmark87"/>
      <w:r>
        <w:rPr>
          <w:rFonts w:hint="eastAsia"/>
          <w:highlight w:val="none"/>
        </w:rPr>
        <w:t>四</w:t>
      </w:r>
      <w:bookmarkEnd w:id="57"/>
      <w:r>
        <w:rPr>
          <w:rFonts w:hint="eastAsia"/>
          <w:highlight w:val="none"/>
        </w:rPr>
        <w:t>、重大事项信息</w:t>
      </w:r>
      <w:bookmarkEnd w:id="58"/>
      <w:bookmarkEnd w:id="59"/>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楷体_GB2312" w:hAnsi="楷体_GB2312" w:eastAsia="楷体_GB2312" w:cs="楷体_GB2312"/>
          <w:b/>
          <w:bCs/>
          <w:sz w:val="32"/>
          <w:szCs w:val="32"/>
          <w:highlight w:val="none"/>
        </w:rPr>
      </w:pPr>
      <w:bookmarkStart w:id="62" w:name="bookmark90"/>
      <w:r>
        <w:rPr>
          <w:rFonts w:hint="eastAsia" w:ascii="楷体_GB2312" w:hAnsi="楷体_GB2312" w:eastAsia="楷体_GB2312" w:cs="楷体_GB2312"/>
          <w:b/>
          <w:bCs/>
          <w:sz w:val="32"/>
          <w:szCs w:val="32"/>
          <w:highlight w:val="none"/>
        </w:rPr>
        <w:t>（一）</w:t>
      </w:r>
      <w:r>
        <w:rPr>
          <w:rFonts w:hint="eastAsia" w:ascii="楷体_GB2312" w:hAnsi="楷体_GB2312" w:eastAsia="楷体_GB2312" w:cs="楷体_GB2312"/>
          <w:b/>
          <w:bCs/>
          <w:sz w:val="32"/>
          <w:szCs w:val="32"/>
          <w:highlight w:val="none"/>
          <w:lang w:val="en-US" w:eastAsia="zh-CN"/>
        </w:rPr>
        <w:t>高级管理人</w:t>
      </w:r>
      <w:r>
        <w:rPr>
          <w:rFonts w:hint="eastAsia" w:ascii="楷体_GB2312" w:hAnsi="楷体_GB2312" w:eastAsia="楷体_GB2312" w:cs="楷体_GB2312"/>
          <w:b/>
          <w:bCs/>
          <w:sz w:val="32"/>
          <w:szCs w:val="32"/>
          <w:highlight w:val="none"/>
        </w:rPr>
        <w:t>员变更</w:t>
      </w:r>
      <w:bookmarkEnd w:id="60"/>
      <w:bookmarkEnd w:id="61"/>
      <w:bookmarkEnd w:id="62"/>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kern w:val="2"/>
          <w:sz w:val="32"/>
          <w:szCs w:val="32"/>
          <w:highlight w:val="none"/>
          <w:shd w:val="clear" w:fill="FFFFFF"/>
          <w:lang w:val="en-US" w:eastAsia="zh-CN" w:bidi="ar-SA"/>
        </w:rPr>
      </w:pPr>
      <w:r>
        <w:rPr>
          <w:rFonts w:hint="eastAsia" w:ascii="仿宋_GB2312" w:hAnsi="仿宋_GB2312" w:eastAsia="仿宋_GB2312" w:cs="仿宋_GB2312"/>
          <w:b w:val="0"/>
          <w:bCs w:val="0"/>
          <w:i w:val="0"/>
          <w:iCs w:val="0"/>
          <w:caps w:val="0"/>
          <w:color w:val="auto"/>
          <w:spacing w:val="0"/>
          <w:kern w:val="2"/>
          <w:sz w:val="32"/>
          <w:szCs w:val="32"/>
          <w:highlight w:val="none"/>
          <w:shd w:val="clear" w:fill="FFFFFF"/>
          <w:lang w:val="en-US" w:eastAsia="zh-CN" w:bidi="ar-SA"/>
        </w:rPr>
        <w:t>1.2022年8月4日，经鞍钢财务公司六届九次董事会讨论通过，解聘王战维鞍钢集团财务有限责任公司副总经理职务。</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b w:val="0"/>
          <w:bCs w:val="0"/>
          <w:i w:val="0"/>
          <w:iCs w:val="0"/>
          <w:caps w:val="0"/>
          <w:color w:val="auto"/>
          <w:spacing w:val="0"/>
          <w:kern w:val="2"/>
          <w:sz w:val="32"/>
          <w:szCs w:val="32"/>
          <w:highlight w:val="none"/>
          <w:shd w:val="clear" w:fill="FFFFFF"/>
          <w:lang w:val="en-US" w:eastAsia="zh-CN" w:bidi="ar-SA"/>
        </w:rPr>
      </w:pPr>
      <w:r>
        <w:rPr>
          <w:rFonts w:hint="eastAsia" w:ascii="仿宋_GB2312" w:hAnsi="仿宋_GB2312" w:eastAsia="仿宋_GB2312" w:cs="仿宋_GB2312"/>
          <w:b w:val="0"/>
          <w:bCs w:val="0"/>
          <w:i w:val="0"/>
          <w:iCs w:val="0"/>
          <w:caps w:val="0"/>
          <w:color w:val="auto"/>
          <w:spacing w:val="0"/>
          <w:kern w:val="2"/>
          <w:sz w:val="32"/>
          <w:szCs w:val="32"/>
          <w:highlight w:val="none"/>
          <w:shd w:val="clear" w:fill="FFFFFF"/>
          <w:lang w:val="en-US" w:eastAsia="zh-CN" w:bidi="ar-SA"/>
        </w:rPr>
        <w:t>2.2022年8月4日，经鞍钢财务公司六届九次董事会讨论通过，解聘董炜鞍钢集团财务有限责任公司副总经理职务。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eastAsia="en-US"/>
        </w:rPr>
        <w:t>.2022</w:t>
      </w:r>
      <w:r>
        <w:rPr>
          <w:rFonts w:hint="eastAsia" w:ascii="仿宋_GB2312" w:hAnsi="仿宋_GB2312" w:eastAsia="仿宋_GB2312" w:cs="仿宋_GB2312"/>
          <w:sz w:val="32"/>
          <w:szCs w:val="32"/>
          <w:highlight w:val="none"/>
        </w:rPr>
        <w:t>年9月2</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日，中国</w:t>
      </w:r>
      <w:r>
        <w:rPr>
          <w:rFonts w:hint="eastAsia" w:ascii="仿宋_GB2312" w:hAnsi="仿宋_GB2312" w:eastAsia="仿宋_GB2312" w:cs="仿宋_GB2312"/>
          <w:sz w:val="32"/>
          <w:szCs w:val="32"/>
          <w:highlight w:val="none"/>
          <w:lang w:val="en-US" w:eastAsia="zh-CN"/>
        </w:rPr>
        <w:t>银行保险监督管理委员会辽宁</w:t>
      </w:r>
      <w:r>
        <w:rPr>
          <w:rFonts w:hint="eastAsia" w:ascii="仿宋_GB2312" w:hAnsi="仿宋_GB2312" w:eastAsia="仿宋_GB2312" w:cs="仿宋_GB2312"/>
          <w:sz w:val="32"/>
          <w:szCs w:val="32"/>
          <w:highlight w:val="none"/>
        </w:rPr>
        <w:t>监管局核准</w:t>
      </w:r>
      <w:r>
        <w:rPr>
          <w:rFonts w:hint="eastAsia" w:ascii="仿宋_GB2312" w:hAnsi="仿宋_GB2312" w:eastAsia="仿宋_GB2312" w:cs="仿宋_GB2312"/>
          <w:sz w:val="32"/>
          <w:szCs w:val="32"/>
          <w:highlight w:val="none"/>
          <w:lang w:val="en-US" w:eastAsia="zh-CN"/>
        </w:rPr>
        <w:t>王连凤鞍钢财务公司副</w:t>
      </w:r>
      <w:r>
        <w:rPr>
          <w:rFonts w:hint="eastAsia" w:ascii="仿宋_GB2312" w:hAnsi="仿宋_GB2312" w:eastAsia="仿宋_GB2312" w:cs="仿宋_GB2312"/>
          <w:sz w:val="32"/>
          <w:szCs w:val="32"/>
          <w:highlight w:val="none"/>
        </w:rPr>
        <w:t>总经理的任职资格。</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kern w:val="2"/>
          <w:sz w:val="32"/>
          <w:szCs w:val="32"/>
          <w:highlight w:val="none"/>
          <w:shd w:val="clear" w:fill="FFFFFF"/>
          <w:lang w:val="en-US" w:eastAsia="zh-CN" w:bidi="ar-SA"/>
        </w:rPr>
      </w:pPr>
      <w:r>
        <w:rPr>
          <w:rFonts w:hint="eastAsia" w:ascii="仿宋_GB2312" w:hAnsi="仿宋_GB2312" w:eastAsia="仿宋_GB2312" w:cs="仿宋_GB2312"/>
          <w:b w:val="0"/>
          <w:bCs w:val="0"/>
          <w:i w:val="0"/>
          <w:iCs w:val="0"/>
          <w:caps w:val="0"/>
          <w:color w:val="auto"/>
          <w:spacing w:val="0"/>
          <w:kern w:val="2"/>
          <w:sz w:val="32"/>
          <w:szCs w:val="32"/>
          <w:highlight w:val="none"/>
          <w:shd w:val="clear" w:fill="FFFFFF"/>
          <w:lang w:val="en-US" w:eastAsia="zh-CN" w:bidi="ar-SA"/>
        </w:rPr>
        <w:t>4</w:t>
      </w:r>
      <w:r>
        <w:rPr>
          <w:rFonts w:hint="eastAsia" w:ascii="仿宋_GB2312" w:hAnsi="仿宋_GB2312" w:eastAsia="仿宋_GB2312" w:cs="仿宋_GB2312"/>
          <w:b w:val="0"/>
          <w:bCs w:val="0"/>
          <w:i w:val="0"/>
          <w:iCs w:val="0"/>
          <w:caps w:val="0"/>
          <w:color w:val="auto"/>
          <w:spacing w:val="0"/>
          <w:kern w:val="2"/>
          <w:sz w:val="32"/>
          <w:szCs w:val="32"/>
          <w:highlight w:val="none"/>
          <w:shd w:val="clear" w:fill="FFFFFF"/>
          <w:lang w:val="en-US" w:eastAsia="en-US" w:bidi="ar-SA"/>
        </w:rPr>
        <w:t>.</w:t>
      </w:r>
      <w:r>
        <w:rPr>
          <w:rFonts w:hint="eastAsia" w:ascii="仿宋_GB2312" w:hAnsi="仿宋_GB2312" w:eastAsia="仿宋_GB2312" w:cs="仿宋_GB2312"/>
          <w:b w:val="0"/>
          <w:bCs w:val="0"/>
          <w:i w:val="0"/>
          <w:iCs w:val="0"/>
          <w:caps w:val="0"/>
          <w:color w:val="auto"/>
          <w:spacing w:val="0"/>
          <w:kern w:val="2"/>
          <w:sz w:val="32"/>
          <w:szCs w:val="32"/>
          <w:highlight w:val="none"/>
          <w:shd w:val="clear" w:fill="FFFFFF"/>
          <w:lang w:val="en-US" w:eastAsia="zh-CN" w:bidi="ar-SA"/>
        </w:rPr>
        <w:t>2022年11月4日，中国银行保险监督管理委员会辽宁监管局核准曹爱民鞍钢财务公司副总经理的任职资格。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lang w:val="en-US" w:eastAsia="zh-CN"/>
        </w:rPr>
        <w:t>二</w:t>
      </w: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lang w:val="en-US" w:eastAsia="zh-CN"/>
        </w:rPr>
        <w:t>增加注册资本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鞍钢财务</w:t>
      </w:r>
      <w:r>
        <w:rPr>
          <w:rFonts w:hint="eastAsia" w:ascii="仿宋_GB2312" w:hAnsi="仿宋_GB2312" w:eastAsia="仿宋_GB2312" w:cs="仿宋_GB2312"/>
          <w:sz w:val="32"/>
          <w:szCs w:val="32"/>
          <w:highlight w:val="none"/>
          <w:lang w:eastAsia="zh-CN"/>
        </w:rPr>
        <w:t>公司</w:t>
      </w:r>
      <w:r>
        <w:rPr>
          <w:rFonts w:hint="eastAsia" w:ascii="仿宋_GB2312" w:hAnsi="仿宋_GB2312" w:eastAsia="仿宋_GB2312" w:cs="仿宋_GB2312"/>
          <w:sz w:val="32"/>
          <w:szCs w:val="32"/>
          <w:highlight w:val="none"/>
        </w:rPr>
        <w:t>增加注册资本</w:t>
      </w:r>
      <w:r>
        <w:rPr>
          <w:rFonts w:hint="eastAsia" w:ascii="仿宋_GB2312" w:hAnsi="仿宋_GB2312" w:eastAsia="仿宋_GB2312" w:cs="仿宋_GB2312"/>
          <w:sz w:val="32"/>
          <w:szCs w:val="32"/>
          <w:highlight w:val="none"/>
          <w:lang w:val="en-US" w:eastAsia="zh-CN"/>
        </w:rPr>
        <w:t>10亿元人民币</w:t>
      </w:r>
      <w:r>
        <w:rPr>
          <w:rFonts w:hint="eastAsia" w:ascii="仿宋_GB2312" w:hAnsi="仿宋_GB2312" w:eastAsia="仿宋_GB2312" w:cs="仿宋_GB2312"/>
          <w:sz w:val="32"/>
          <w:szCs w:val="32"/>
          <w:highlight w:val="none"/>
        </w:rPr>
        <w:t>，增资方式为未分配利润转增资本，增资后注册资本为人民币50亿元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详见下表：</w:t>
      </w:r>
    </w:p>
    <w:p>
      <w:pPr>
        <w:pStyle w:val="2"/>
        <w:rPr>
          <w:rFonts w:hint="eastAsia"/>
          <w:lang w:val="en-US" w:eastAsia="zh-CN"/>
        </w:rPr>
      </w:pPr>
    </w:p>
    <w:tbl>
      <w:tblPr>
        <w:tblStyle w:val="8"/>
        <w:tblW w:w="8892" w:type="dxa"/>
        <w:jc w:val="center"/>
        <w:tblLayout w:type="autofit"/>
        <w:tblCellMar>
          <w:top w:w="0" w:type="dxa"/>
          <w:left w:w="0" w:type="dxa"/>
          <w:bottom w:w="0" w:type="dxa"/>
          <w:right w:w="0" w:type="dxa"/>
        </w:tblCellMar>
      </w:tblPr>
      <w:tblGrid>
        <w:gridCol w:w="684"/>
        <w:gridCol w:w="3816"/>
        <w:gridCol w:w="1032"/>
        <w:gridCol w:w="1176"/>
        <w:gridCol w:w="1116"/>
        <w:gridCol w:w="1068"/>
      </w:tblGrid>
      <w:tr>
        <w:tblPrEx>
          <w:tblCellMar>
            <w:top w:w="0" w:type="dxa"/>
            <w:left w:w="0" w:type="dxa"/>
            <w:bottom w:w="0" w:type="dxa"/>
            <w:right w:w="0" w:type="dxa"/>
          </w:tblCellMar>
        </w:tblPrEx>
        <w:trPr>
          <w:trHeight w:val="600" w:hRule="atLeast"/>
          <w:jc w:val="center"/>
        </w:trPr>
        <w:tc>
          <w:tcPr>
            <w:tcW w:w="684" w:type="dxa"/>
            <w:vMerge w:val="restart"/>
            <w:tcBorders>
              <w:top w:val="single" w:color="000000" w:sz="8" w:space="0"/>
              <w:left w:val="single" w:color="000000" w:sz="8"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序号</w:t>
            </w:r>
          </w:p>
        </w:tc>
        <w:tc>
          <w:tcPr>
            <w:tcW w:w="3816" w:type="dxa"/>
            <w:vMerge w:val="restart"/>
            <w:tcBorders>
              <w:top w:val="single" w:color="000000" w:sz="8"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出资人名称</w:t>
            </w:r>
          </w:p>
        </w:tc>
        <w:tc>
          <w:tcPr>
            <w:tcW w:w="2208" w:type="dxa"/>
            <w:gridSpan w:val="2"/>
            <w:tcBorders>
              <w:top w:val="single" w:color="000000" w:sz="8" w:space="0"/>
              <w:left w:val="single" w:color="000000" w:sz="8" w:space="0"/>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增资前情况</w:t>
            </w:r>
          </w:p>
        </w:tc>
        <w:tc>
          <w:tcPr>
            <w:tcW w:w="2184" w:type="dxa"/>
            <w:gridSpan w:val="2"/>
            <w:tcBorders>
              <w:top w:val="single" w:color="000000" w:sz="8" w:space="0"/>
              <w:left w:val="single" w:color="000000" w:sz="8" w:space="0"/>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增资后情况</w:t>
            </w:r>
          </w:p>
        </w:tc>
      </w:tr>
      <w:tr>
        <w:tblPrEx>
          <w:tblCellMar>
            <w:top w:w="0" w:type="dxa"/>
            <w:left w:w="0" w:type="dxa"/>
            <w:bottom w:w="0" w:type="dxa"/>
            <w:right w:w="0" w:type="dxa"/>
          </w:tblCellMar>
        </w:tblPrEx>
        <w:trPr>
          <w:trHeight w:val="732" w:hRule="atLeast"/>
          <w:jc w:val="center"/>
        </w:trPr>
        <w:tc>
          <w:tcPr>
            <w:tcW w:w="684" w:type="dxa"/>
            <w:vMerge w:val="continue"/>
            <w:tcBorders>
              <w:top w:val="single" w:color="000000" w:sz="8" w:space="0"/>
              <w:left w:val="single" w:color="000000" w:sz="8" w:space="0"/>
              <w:bottom w:val="single" w:color="000000" w:sz="4" w:space="0"/>
              <w:right w:val="single" w:color="000000" w:sz="4" w:space="0"/>
            </w:tcBorders>
            <w:noWrap w:val="0"/>
            <w:tcMar>
              <w:top w:w="12" w:type="dxa"/>
              <w:left w:w="12" w:type="dxa"/>
              <w:right w:w="12" w:type="dxa"/>
            </w:tcMar>
            <w:vAlign w:val="center"/>
          </w:tcPr>
          <w:p>
            <w:pPr>
              <w:suppressLineNumbers w:val="0"/>
              <w:spacing w:beforeAutospacing="0" w:afterAutospacing="0"/>
              <w:jc w:val="center"/>
              <w:rPr>
                <w:rFonts w:hint="eastAsia" w:ascii="仿宋_GB2312" w:hAnsi="仿宋_GB2312" w:eastAsia="仿宋_GB2312" w:cs="仿宋_GB2312"/>
                <w:b/>
                <w:i w:val="0"/>
                <w:color w:val="000000"/>
                <w:sz w:val="21"/>
                <w:szCs w:val="21"/>
                <w:highlight w:val="none"/>
                <w:u w:val="none"/>
              </w:rPr>
            </w:pPr>
          </w:p>
        </w:tc>
        <w:tc>
          <w:tcPr>
            <w:tcW w:w="3816" w:type="dxa"/>
            <w:vMerge w:val="continue"/>
            <w:tcBorders>
              <w:top w:val="single" w:color="000000" w:sz="8" w:space="0"/>
              <w:left w:val="single" w:color="000000" w:sz="4" w:space="0"/>
              <w:bottom w:val="single" w:color="000000" w:sz="4" w:space="0"/>
              <w:right w:val="nil"/>
            </w:tcBorders>
            <w:noWrap w:val="0"/>
            <w:tcMar>
              <w:top w:w="12" w:type="dxa"/>
              <w:left w:w="12" w:type="dxa"/>
              <w:right w:w="12" w:type="dxa"/>
            </w:tcMar>
            <w:vAlign w:val="center"/>
          </w:tcPr>
          <w:p>
            <w:pPr>
              <w:suppressLineNumbers w:val="0"/>
              <w:spacing w:beforeAutospacing="0" w:afterAutospacing="0"/>
              <w:jc w:val="center"/>
              <w:rPr>
                <w:rFonts w:hint="eastAsia" w:ascii="仿宋_GB2312" w:hAnsi="仿宋_GB2312" w:eastAsia="仿宋_GB2312" w:cs="仿宋_GB2312"/>
                <w:b/>
                <w:i w:val="0"/>
                <w:color w:val="000000"/>
                <w:sz w:val="21"/>
                <w:szCs w:val="21"/>
                <w:highlight w:val="none"/>
                <w:u w:val="none"/>
              </w:rPr>
            </w:pPr>
          </w:p>
        </w:tc>
        <w:tc>
          <w:tcPr>
            <w:tcW w:w="1032" w:type="dxa"/>
            <w:tcBorders>
              <w:top w:val="single" w:color="000000" w:sz="4" w:space="0"/>
              <w:left w:val="single" w:color="000000" w:sz="8"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出资金额（亿元）</w:t>
            </w:r>
          </w:p>
        </w:tc>
        <w:tc>
          <w:tcPr>
            <w:tcW w:w="1176" w:type="dxa"/>
            <w:tcBorders>
              <w:top w:val="single" w:color="000000" w:sz="4" w:space="0"/>
              <w:left w:val="single" w:color="000000" w:sz="4" w:space="0"/>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出资比例（%）</w:t>
            </w:r>
          </w:p>
        </w:tc>
        <w:tc>
          <w:tcPr>
            <w:tcW w:w="1116" w:type="dxa"/>
            <w:tcBorders>
              <w:top w:val="single" w:color="000000" w:sz="4" w:space="0"/>
              <w:left w:val="single" w:color="000000" w:sz="8"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出资金额（亿元）</w:t>
            </w:r>
          </w:p>
        </w:tc>
        <w:tc>
          <w:tcPr>
            <w:tcW w:w="1068" w:type="dxa"/>
            <w:tcBorders>
              <w:top w:val="single" w:color="000000" w:sz="4" w:space="0"/>
              <w:left w:val="single" w:color="000000" w:sz="4" w:space="0"/>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出资比例（%）</w:t>
            </w:r>
          </w:p>
        </w:tc>
      </w:tr>
      <w:tr>
        <w:tblPrEx>
          <w:tblCellMar>
            <w:top w:w="0" w:type="dxa"/>
            <w:left w:w="0" w:type="dxa"/>
            <w:bottom w:w="0" w:type="dxa"/>
            <w:right w:w="0" w:type="dxa"/>
          </w:tblCellMar>
        </w:tblPrEx>
        <w:trPr>
          <w:trHeight w:val="416" w:hRule="atLeast"/>
          <w:jc w:val="center"/>
        </w:trPr>
        <w:tc>
          <w:tcPr>
            <w:tcW w:w="684" w:type="dxa"/>
            <w:tcBorders>
              <w:top w:val="single" w:color="000000" w:sz="4" w:space="0"/>
              <w:left w:val="single" w:color="000000" w:sz="8"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1</w:t>
            </w:r>
          </w:p>
        </w:tc>
        <w:tc>
          <w:tcPr>
            <w:tcW w:w="3816"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鞍钢集团有限公司</w:t>
            </w:r>
          </w:p>
        </w:tc>
        <w:tc>
          <w:tcPr>
            <w:tcW w:w="1032" w:type="dxa"/>
            <w:tcBorders>
              <w:top w:val="single" w:color="000000" w:sz="4" w:space="0"/>
              <w:left w:val="single" w:color="000000" w:sz="8"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28.00</w:t>
            </w:r>
          </w:p>
        </w:tc>
        <w:tc>
          <w:tcPr>
            <w:tcW w:w="1176" w:type="dxa"/>
            <w:tcBorders>
              <w:top w:val="single" w:color="000000" w:sz="4" w:space="0"/>
              <w:left w:val="single" w:color="000000" w:sz="4" w:space="0"/>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70</w:t>
            </w:r>
          </w:p>
        </w:tc>
        <w:tc>
          <w:tcPr>
            <w:tcW w:w="1116" w:type="dxa"/>
            <w:tcBorders>
              <w:top w:val="single" w:color="000000" w:sz="4" w:space="0"/>
              <w:left w:val="single" w:color="000000" w:sz="8"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35.00</w:t>
            </w:r>
          </w:p>
        </w:tc>
        <w:tc>
          <w:tcPr>
            <w:tcW w:w="1068" w:type="dxa"/>
            <w:tcBorders>
              <w:top w:val="single" w:color="000000" w:sz="4" w:space="0"/>
              <w:left w:val="single" w:color="000000" w:sz="4" w:space="0"/>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70</w:t>
            </w:r>
          </w:p>
        </w:tc>
      </w:tr>
      <w:tr>
        <w:tblPrEx>
          <w:tblCellMar>
            <w:top w:w="0" w:type="dxa"/>
            <w:left w:w="0" w:type="dxa"/>
            <w:bottom w:w="0" w:type="dxa"/>
            <w:right w:w="0" w:type="dxa"/>
          </w:tblCellMar>
        </w:tblPrEx>
        <w:trPr>
          <w:trHeight w:val="416" w:hRule="atLeast"/>
          <w:jc w:val="center"/>
        </w:trPr>
        <w:tc>
          <w:tcPr>
            <w:tcW w:w="684" w:type="dxa"/>
            <w:tcBorders>
              <w:top w:val="single" w:color="000000" w:sz="4" w:space="0"/>
              <w:left w:val="single" w:color="000000" w:sz="8"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2</w:t>
            </w:r>
          </w:p>
        </w:tc>
        <w:tc>
          <w:tcPr>
            <w:tcW w:w="3816"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鞍钢股份有限公司</w:t>
            </w:r>
          </w:p>
        </w:tc>
        <w:tc>
          <w:tcPr>
            <w:tcW w:w="1032" w:type="dxa"/>
            <w:tcBorders>
              <w:top w:val="single" w:color="000000" w:sz="4" w:space="0"/>
              <w:left w:val="single" w:color="000000" w:sz="8"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8.00</w:t>
            </w:r>
          </w:p>
        </w:tc>
        <w:tc>
          <w:tcPr>
            <w:tcW w:w="1176" w:type="dxa"/>
            <w:tcBorders>
              <w:top w:val="single" w:color="000000" w:sz="4" w:space="0"/>
              <w:left w:val="single" w:color="000000" w:sz="4" w:space="0"/>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20</w:t>
            </w:r>
          </w:p>
        </w:tc>
        <w:tc>
          <w:tcPr>
            <w:tcW w:w="1116" w:type="dxa"/>
            <w:tcBorders>
              <w:top w:val="single" w:color="000000" w:sz="4" w:space="0"/>
              <w:left w:val="single" w:color="000000" w:sz="8"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10.00</w:t>
            </w:r>
          </w:p>
        </w:tc>
        <w:tc>
          <w:tcPr>
            <w:tcW w:w="1068" w:type="dxa"/>
            <w:tcBorders>
              <w:top w:val="single" w:color="000000" w:sz="4" w:space="0"/>
              <w:left w:val="single" w:color="000000" w:sz="4" w:space="0"/>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20</w:t>
            </w:r>
          </w:p>
        </w:tc>
      </w:tr>
      <w:tr>
        <w:tblPrEx>
          <w:tblCellMar>
            <w:top w:w="0" w:type="dxa"/>
            <w:left w:w="0" w:type="dxa"/>
            <w:bottom w:w="0" w:type="dxa"/>
            <w:right w:w="0" w:type="dxa"/>
          </w:tblCellMar>
        </w:tblPrEx>
        <w:trPr>
          <w:trHeight w:val="416" w:hRule="atLeast"/>
          <w:jc w:val="center"/>
        </w:trPr>
        <w:tc>
          <w:tcPr>
            <w:tcW w:w="684" w:type="dxa"/>
            <w:tcBorders>
              <w:top w:val="single" w:color="000000" w:sz="4" w:space="0"/>
              <w:left w:val="single" w:color="000000" w:sz="8"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3</w:t>
            </w:r>
          </w:p>
        </w:tc>
        <w:tc>
          <w:tcPr>
            <w:tcW w:w="3816"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攀钢集团钒钛资源股份有限公司</w:t>
            </w:r>
          </w:p>
        </w:tc>
        <w:tc>
          <w:tcPr>
            <w:tcW w:w="1032" w:type="dxa"/>
            <w:tcBorders>
              <w:top w:val="single" w:color="000000" w:sz="4" w:space="0"/>
              <w:left w:val="single" w:color="000000" w:sz="8"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4.00</w:t>
            </w:r>
          </w:p>
        </w:tc>
        <w:tc>
          <w:tcPr>
            <w:tcW w:w="1176" w:type="dxa"/>
            <w:tcBorders>
              <w:top w:val="single" w:color="000000" w:sz="4" w:space="0"/>
              <w:left w:val="single" w:color="000000" w:sz="4" w:space="0"/>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10</w:t>
            </w:r>
          </w:p>
        </w:tc>
        <w:tc>
          <w:tcPr>
            <w:tcW w:w="1116" w:type="dxa"/>
            <w:tcBorders>
              <w:top w:val="single" w:color="000000" w:sz="4" w:space="0"/>
              <w:left w:val="single" w:color="000000" w:sz="8"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5.00</w:t>
            </w:r>
          </w:p>
        </w:tc>
        <w:tc>
          <w:tcPr>
            <w:tcW w:w="1068" w:type="dxa"/>
            <w:tcBorders>
              <w:top w:val="single" w:color="000000" w:sz="4" w:space="0"/>
              <w:left w:val="single" w:color="000000" w:sz="4" w:space="0"/>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10</w:t>
            </w:r>
          </w:p>
        </w:tc>
      </w:tr>
      <w:tr>
        <w:tblPrEx>
          <w:tblCellMar>
            <w:top w:w="0" w:type="dxa"/>
            <w:left w:w="0" w:type="dxa"/>
            <w:bottom w:w="0" w:type="dxa"/>
            <w:right w:w="0" w:type="dxa"/>
          </w:tblCellMar>
        </w:tblPrEx>
        <w:trPr>
          <w:trHeight w:val="416" w:hRule="atLeast"/>
          <w:jc w:val="center"/>
        </w:trPr>
        <w:tc>
          <w:tcPr>
            <w:tcW w:w="4500" w:type="dxa"/>
            <w:gridSpan w:val="2"/>
            <w:tcBorders>
              <w:top w:val="single" w:color="000000" w:sz="4" w:space="0"/>
              <w:left w:val="single" w:color="000000" w:sz="8"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合计</w:t>
            </w:r>
          </w:p>
        </w:tc>
        <w:tc>
          <w:tcPr>
            <w:tcW w:w="1032" w:type="dxa"/>
            <w:tcBorders>
              <w:top w:val="single" w:color="000000" w:sz="4" w:space="0"/>
              <w:left w:val="single" w:color="000000" w:sz="8"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40</w:t>
            </w:r>
          </w:p>
        </w:tc>
        <w:tc>
          <w:tcPr>
            <w:tcW w:w="1176" w:type="dxa"/>
            <w:tcBorders>
              <w:top w:val="single" w:color="000000" w:sz="4" w:space="0"/>
              <w:left w:val="single" w:color="000000" w:sz="4"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100</w:t>
            </w:r>
          </w:p>
        </w:tc>
        <w:tc>
          <w:tcPr>
            <w:tcW w:w="1116" w:type="dxa"/>
            <w:tcBorders>
              <w:top w:val="single" w:color="000000" w:sz="4" w:space="0"/>
              <w:left w:val="single" w:color="000000" w:sz="8"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50</w:t>
            </w:r>
          </w:p>
        </w:tc>
        <w:tc>
          <w:tcPr>
            <w:tcW w:w="1068" w:type="dxa"/>
            <w:tcBorders>
              <w:top w:val="single" w:color="000000" w:sz="4" w:space="0"/>
              <w:left w:val="single" w:color="000000" w:sz="4"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100</w:t>
            </w:r>
          </w:p>
        </w:tc>
      </w:tr>
    </w:tbl>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2022年10月10日，</w:t>
      </w:r>
      <w:r>
        <w:rPr>
          <w:rFonts w:hint="eastAsia" w:ascii="仿宋_GB2312" w:hAnsi="仿宋_GB2312" w:eastAsia="仿宋_GB2312" w:cs="仿宋_GB2312"/>
          <w:sz w:val="32"/>
          <w:szCs w:val="32"/>
          <w:highlight w:val="none"/>
        </w:rPr>
        <w:t>中国</w:t>
      </w:r>
      <w:r>
        <w:rPr>
          <w:rFonts w:hint="eastAsia" w:ascii="仿宋_GB2312" w:hAnsi="仿宋_GB2312" w:eastAsia="仿宋_GB2312" w:cs="仿宋_GB2312"/>
          <w:sz w:val="32"/>
          <w:szCs w:val="32"/>
          <w:highlight w:val="none"/>
          <w:lang w:val="en-US" w:eastAsia="zh-CN"/>
        </w:rPr>
        <w:t>银行保险监督管理委员会辽宁</w:t>
      </w:r>
      <w:r>
        <w:rPr>
          <w:rFonts w:hint="eastAsia" w:ascii="仿宋_GB2312" w:hAnsi="仿宋_GB2312" w:eastAsia="仿宋_GB2312" w:cs="仿宋_GB2312"/>
          <w:sz w:val="32"/>
          <w:szCs w:val="32"/>
          <w:highlight w:val="none"/>
        </w:rPr>
        <w:t>监管局</w:t>
      </w:r>
      <w:r>
        <w:rPr>
          <w:rFonts w:hint="eastAsia" w:ascii="仿宋_GB2312" w:hAnsi="仿宋_GB2312" w:eastAsia="仿宋_GB2312" w:cs="仿宋_GB2312"/>
          <w:sz w:val="32"/>
          <w:szCs w:val="32"/>
          <w:highlight w:val="none"/>
          <w:lang w:val="en-US" w:eastAsia="zh-CN"/>
        </w:rPr>
        <w:t>批复同意增资，2022年11月29日，完成法定变更手续。</w:t>
      </w:r>
    </w:p>
    <w:p>
      <w:pPr>
        <w:pStyle w:val="4"/>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textAlignment w:val="auto"/>
        <w:outlineLvl w:val="0"/>
        <w:rPr>
          <w:rFonts w:hint="eastAsia"/>
          <w:highlight w:val="none"/>
        </w:rPr>
      </w:pPr>
      <w:bookmarkStart w:id="63" w:name="_Toc30083"/>
      <w:r>
        <w:rPr>
          <w:rFonts w:hint="eastAsia"/>
          <w:highlight w:val="none"/>
          <w:lang w:val="en-US" w:eastAsia="zh-CN"/>
        </w:rPr>
        <w:t>五</w:t>
      </w:r>
      <w:r>
        <w:rPr>
          <w:rFonts w:hint="eastAsia"/>
          <w:highlight w:val="none"/>
        </w:rPr>
        <w:t>、财务会计信息</w:t>
      </w:r>
      <w:bookmarkEnd w:id="63"/>
    </w:p>
    <w:p>
      <w:pPr>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highlight w:val="none"/>
        </w:rPr>
      </w:pPr>
      <w:bookmarkStart w:id="64" w:name="bookmark98"/>
      <w:bookmarkStart w:id="65" w:name="bookmark96"/>
      <w:bookmarkStart w:id="66" w:name="bookmark97"/>
      <w:r>
        <w:rPr>
          <w:rFonts w:hint="eastAsia" w:ascii="仿宋_GB2312" w:hAnsi="仿宋_GB2312" w:eastAsia="仿宋_GB2312" w:cs="仿宋_GB2312"/>
          <w:sz w:val="32"/>
          <w:szCs w:val="32"/>
          <w:highlight w:val="none"/>
          <w:lang w:val="en-US" w:eastAsia="zh-CN"/>
        </w:rPr>
        <w:t>附鞍钢集团财务有限责任公司2022年度审计报告。</w:t>
      </w:r>
      <w:bookmarkEnd w:id="64"/>
      <w:bookmarkEnd w:id="65"/>
      <w:bookmarkEnd w:id="66"/>
      <w:bookmarkStart w:id="67" w:name="_GoBack"/>
      <w:bookmarkEnd w:id="67"/>
    </w:p>
    <w:sectPr>
      <w:headerReference r:id="rId5" w:type="default"/>
      <w:footerReference r:id="rId7" w:type="default"/>
      <w:headerReference r:id="rId6" w:type="even"/>
      <w:footerReference r:id="rId8" w:type="even"/>
      <w:footnotePr>
        <w:numFmt w:val="decimal"/>
      </w:footnotePr>
      <w:pgSz w:w="11900" w:h="16840"/>
      <w:pgMar w:top="2098" w:right="1474" w:bottom="1984" w:left="1587" w:header="641" w:footer="6" w:gutter="0"/>
      <w:pgNumType w:fmt="decimal"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-290195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85pt;height:144pt;width:144pt;mso-position-horizontal:center;mso-position-horizontal-relative:margin;mso-wrap-style:none;z-index:251659264;mso-width-relative:page;mso-height-relative:page;" filled="f" stroked="f" coordsize="21600,21600" o:gfxdata="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dgTg/WAAAACAEAAA8AAAAAAAAAAQAgAAAAIgAAAGRycy9kb3ducmV2LnhtbFBL&#10;AQIUABQAAAAIAIdO4kDHl7XOMQIAAGEEAAAOAAAAAAAAAAEAIAAAACUBAABkcnMvZTJvRG9jLnht&#10;bFBLBQYAAAAABgAGAFkBAADI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-290195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85pt;height:144pt;width:144pt;mso-position-horizontal:center;mso-position-horizontal-relative:margin;mso-wrap-style:none;z-index:251660288;mso-width-relative:page;mso-height-relative:page;" filled="f" stroked="f" coordsize="21600,21600" o:gfxdata="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3YE4P1gAAAAgBAAAPAAAAAAAAAAEAIAAAACIAAABkcnMvZG93bnJldi54bWxQ&#10;SwECFAAUAAAACACHTuJAApUg9DICAABhBAAADgAAAAAAAAABACAAAAAlAQAAZHJzL2Uyb0RvYy54&#10;bWxQSwUGAAAAAAYABgBZAQAAyQ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evenAndOddHeaders w:val="1"/>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docVars>
    <w:docVar w:name="commondata" w:val="eyJoZGlkIjoiYzMyOTk3M2Q4NzE1YmQ3OGY3Yzk1YmRmZWYwOWU2ZDEifQ=="/>
  </w:docVars>
  <w:rsids>
    <w:rsidRoot w:val="00172A27"/>
    <w:rsid w:val="03766107"/>
    <w:rsid w:val="06E635A4"/>
    <w:rsid w:val="119500A0"/>
    <w:rsid w:val="1C0F7C60"/>
    <w:rsid w:val="1CBD289F"/>
    <w:rsid w:val="24383F19"/>
    <w:rsid w:val="26084E8D"/>
    <w:rsid w:val="29F10C8B"/>
    <w:rsid w:val="2DB73324"/>
    <w:rsid w:val="366C5986"/>
    <w:rsid w:val="37CD1A92"/>
    <w:rsid w:val="44054362"/>
    <w:rsid w:val="453C3DB3"/>
    <w:rsid w:val="4599712A"/>
    <w:rsid w:val="47330814"/>
    <w:rsid w:val="4F3561AB"/>
    <w:rsid w:val="55061CE8"/>
    <w:rsid w:val="572D5C52"/>
    <w:rsid w:val="59DE358E"/>
    <w:rsid w:val="61993E52"/>
    <w:rsid w:val="63097573"/>
    <w:rsid w:val="632F1185"/>
    <w:rsid w:val="675A7AA8"/>
    <w:rsid w:val="6807338A"/>
    <w:rsid w:val="695A7B98"/>
    <w:rsid w:val="697C36BE"/>
    <w:rsid w:val="6BB666BB"/>
    <w:rsid w:val="6F5E3EB6"/>
    <w:rsid w:val="723B701D"/>
    <w:rsid w:val="739E015D"/>
    <w:rsid w:val="73A429ED"/>
    <w:rsid w:val="778D7AB3"/>
    <w:rsid w:val="7EC12A46"/>
    <w:rsid w:val="7F0B3A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正文－华文中宋，小四"/>
    <w:basedOn w:val="1"/>
    <w:qFormat/>
    <w:uiPriority w:val="0"/>
    <w:pPr>
      <w:ind w:firstLine="236" w:firstLineChars="236"/>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character" w:customStyle="1" w:styleId="10">
    <w:name w:val="Body text|1_"/>
    <w:basedOn w:val="9"/>
    <w:link w:val="11"/>
    <w:qFormat/>
    <w:uiPriority w:val="0"/>
    <w:rPr>
      <w:rFonts w:ascii="宋体" w:hAnsi="宋体" w:eastAsia="宋体" w:cs="宋体"/>
      <w:sz w:val="20"/>
      <w:szCs w:val="20"/>
      <w:u w:val="none"/>
      <w:shd w:val="clear" w:color="auto" w:fill="auto"/>
      <w:lang w:val="zh-TW" w:eastAsia="zh-TW" w:bidi="zh-TW"/>
    </w:rPr>
  </w:style>
  <w:style w:type="paragraph" w:customStyle="1" w:styleId="11">
    <w:name w:val="Body text|1"/>
    <w:basedOn w:val="1"/>
    <w:link w:val="10"/>
    <w:qFormat/>
    <w:uiPriority w:val="0"/>
    <w:pPr>
      <w:widowControl w:val="0"/>
      <w:shd w:val="clear" w:color="auto" w:fill="auto"/>
      <w:ind w:firstLine="540"/>
    </w:pPr>
    <w:rPr>
      <w:rFonts w:ascii="宋体" w:hAnsi="宋体" w:eastAsia="宋体" w:cs="宋体"/>
      <w:sz w:val="20"/>
      <w:szCs w:val="20"/>
      <w:u w:val="none"/>
      <w:shd w:val="clear" w:color="auto" w:fill="auto"/>
      <w:lang w:val="zh-TW" w:eastAsia="zh-TW" w:bidi="zh-TW"/>
    </w:rPr>
  </w:style>
  <w:style w:type="character" w:customStyle="1" w:styleId="12">
    <w:name w:val="Body text|4_"/>
    <w:basedOn w:val="9"/>
    <w:link w:val="13"/>
    <w:qFormat/>
    <w:uiPriority w:val="0"/>
    <w:rPr>
      <w:sz w:val="11"/>
      <w:szCs w:val="11"/>
      <w:u w:val="none"/>
      <w:shd w:val="clear" w:color="auto" w:fill="auto"/>
    </w:rPr>
  </w:style>
  <w:style w:type="paragraph" w:customStyle="1" w:styleId="13">
    <w:name w:val="Body text|4"/>
    <w:basedOn w:val="1"/>
    <w:link w:val="12"/>
    <w:qFormat/>
    <w:uiPriority w:val="0"/>
    <w:pPr>
      <w:widowControl w:val="0"/>
      <w:shd w:val="clear" w:color="auto" w:fill="auto"/>
      <w:spacing w:after="4120" w:line="218" w:lineRule="auto"/>
      <w:ind w:firstLine="540"/>
    </w:pPr>
    <w:rPr>
      <w:sz w:val="11"/>
      <w:szCs w:val="11"/>
      <w:u w:val="none"/>
      <w:shd w:val="clear" w:color="auto" w:fill="auto"/>
    </w:rPr>
  </w:style>
  <w:style w:type="character" w:customStyle="1" w:styleId="14">
    <w:name w:val="Heading #1|1_"/>
    <w:basedOn w:val="9"/>
    <w:link w:val="15"/>
    <w:qFormat/>
    <w:uiPriority w:val="0"/>
    <w:rPr>
      <w:rFonts w:ascii="宋体" w:hAnsi="宋体" w:eastAsia="宋体" w:cs="宋体"/>
      <w:sz w:val="54"/>
      <w:szCs w:val="54"/>
      <w:u w:val="none"/>
      <w:shd w:val="clear" w:color="auto" w:fill="auto"/>
      <w:lang w:val="zh-TW" w:eastAsia="zh-TW" w:bidi="zh-TW"/>
    </w:rPr>
  </w:style>
  <w:style w:type="paragraph" w:customStyle="1" w:styleId="15">
    <w:name w:val="Heading #1|1"/>
    <w:basedOn w:val="1"/>
    <w:link w:val="14"/>
    <w:qFormat/>
    <w:uiPriority w:val="0"/>
    <w:pPr>
      <w:widowControl w:val="0"/>
      <w:shd w:val="clear" w:color="auto" w:fill="auto"/>
      <w:spacing w:after="2620"/>
      <w:jc w:val="center"/>
      <w:outlineLvl w:val="0"/>
    </w:pPr>
    <w:rPr>
      <w:rFonts w:ascii="宋体" w:hAnsi="宋体" w:eastAsia="宋体" w:cs="宋体"/>
      <w:sz w:val="54"/>
      <w:szCs w:val="54"/>
      <w:u w:val="none"/>
      <w:shd w:val="clear" w:color="auto" w:fill="auto"/>
      <w:lang w:val="zh-TW" w:eastAsia="zh-TW" w:bidi="zh-TW"/>
    </w:rPr>
  </w:style>
  <w:style w:type="character" w:customStyle="1" w:styleId="16">
    <w:name w:val="Heading #2|1_"/>
    <w:basedOn w:val="9"/>
    <w:link w:val="17"/>
    <w:qFormat/>
    <w:uiPriority w:val="0"/>
    <w:rPr>
      <w:rFonts w:ascii="宋体" w:hAnsi="宋体" w:eastAsia="宋体" w:cs="宋体"/>
      <w:sz w:val="36"/>
      <w:szCs w:val="36"/>
      <w:u w:val="none"/>
      <w:shd w:val="clear" w:color="auto" w:fill="auto"/>
    </w:rPr>
  </w:style>
  <w:style w:type="paragraph" w:customStyle="1" w:styleId="17">
    <w:name w:val="Heading #2|1"/>
    <w:basedOn w:val="1"/>
    <w:link w:val="16"/>
    <w:qFormat/>
    <w:uiPriority w:val="0"/>
    <w:pPr>
      <w:widowControl w:val="0"/>
      <w:shd w:val="clear" w:color="auto" w:fill="auto"/>
      <w:jc w:val="center"/>
      <w:outlineLvl w:val="1"/>
    </w:pPr>
    <w:rPr>
      <w:rFonts w:ascii="宋体" w:hAnsi="宋体" w:eastAsia="宋体" w:cs="宋体"/>
      <w:sz w:val="36"/>
      <w:szCs w:val="36"/>
      <w:u w:val="none"/>
      <w:shd w:val="clear" w:color="auto" w:fill="auto"/>
    </w:rPr>
  </w:style>
  <w:style w:type="character" w:customStyle="1" w:styleId="18">
    <w:name w:val="Heading #3|1_"/>
    <w:basedOn w:val="9"/>
    <w:link w:val="19"/>
    <w:qFormat/>
    <w:uiPriority w:val="0"/>
    <w:rPr>
      <w:rFonts w:ascii="宋体" w:hAnsi="宋体" w:eastAsia="宋体" w:cs="宋体"/>
      <w:b/>
      <w:bCs/>
      <w:u w:val="none"/>
      <w:shd w:val="clear" w:color="auto" w:fill="auto"/>
      <w:lang w:val="zh-TW" w:eastAsia="zh-TW" w:bidi="zh-TW"/>
    </w:rPr>
  </w:style>
  <w:style w:type="paragraph" w:customStyle="1" w:styleId="19">
    <w:name w:val="Heading #3|1"/>
    <w:basedOn w:val="1"/>
    <w:link w:val="18"/>
    <w:qFormat/>
    <w:uiPriority w:val="0"/>
    <w:pPr>
      <w:widowControl w:val="0"/>
      <w:shd w:val="clear" w:color="auto" w:fill="auto"/>
      <w:spacing w:after="100" w:line="324" w:lineRule="auto"/>
      <w:ind w:left="1200"/>
      <w:outlineLvl w:val="2"/>
    </w:pPr>
    <w:rPr>
      <w:rFonts w:ascii="宋体" w:hAnsi="宋体" w:eastAsia="宋体" w:cs="宋体"/>
      <w:b/>
      <w:bCs/>
      <w:u w:val="none"/>
      <w:shd w:val="clear" w:color="auto" w:fill="auto"/>
      <w:lang w:val="zh-TW" w:eastAsia="zh-TW" w:bidi="zh-TW"/>
    </w:rPr>
  </w:style>
  <w:style w:type="character" w:customStyle="1" w:styleId="20">
    <w:name w:val="Body text|2_"/>
    <w:basedOn w:val="9"/>
    <w:link w:val="21"/>
    <w:qFormat/>
    <w:uiPriority w:val="0"/>
    <w:rPr>
      <w:rFonts w:ascii="宋体" w:hAnsi="宋体" w:eastAsia="宋体" w:cs="宋体"/>
      <w:u w:val="none"/>
      <w:shd w:val="clear" w:color="auto" w:fill="auto"/>
      <w:lang w:val="zh-TW" w:eastAsia="zh-TW" w:bidi="zh-TW"/>
    </w:rPr>
  </w:style>
  <w:style w:type="paragraph" w:customStyle="1" w:styleId="21">
    <w:name w:val="Body text|2"/>
    <w:basedOn w:val="1"/>
    <w:link w:val="20"/>
    <w:qFormat/>
    <w:uiPriority w:val="0"/>
    <w:pPr>
      <w:widowControl w:val="0"/>
      <w:shd w:val="clear" w:color="auto" w:fill="auto"/>
      <w:spacing w:line="480" w:lineRule="auto"/>
    </w:pPr>
    <w:rPr>
      <w:rFonts w:ascii="宋体" w:hAnsi="宋体" w:eastAsia="宋体" w:cs="宋体"/>
      <w:u w:val="none"/>
      <w:shd w:val="clear" w:color="auto" w:fill="auto"/>
      <w:lang w:val="zh-TW" w:eastAsia="zh-TW" w:bidi="zh-TW"/>
    </w:rPr>
  </w:style>
  <w:style w:type="character" w:customStyle="1" w:styleId="22">
    <w:name w:val="Body text|6_"/>
    <w:basedOn w:val="9"/>
    <w:link w:val="23"/>
    <w:qFormat/>
    <w:uiPriority w:val="0"/>
    <w:rPr>
      <w:rFonts w:ascii="宋体" w:hAnsi="宋体" w:eastAsia="宋体" w:cs="宋体"/>
      <w:sz w:val="28"/>
      <w:szCs w:val="28"/>
      <w:u w:val="none"/>
      <w:shd w:val="clear" w:color="auto" w:fill="auto"/>
      <w:lang w:val="zh-TW" w:eastAsia="zh-TW" w:bidi="zh-TW"/>
    </w:rPr>
  </w:style>
  <w:style w:type="paragraph" w:customStyle="1" w:styleId="23">
    <w:name w:val="Body text|6"/>
    <w:basedOn w:val="1"/>
    <w:link w:val="22"/>
    <w:qFormat/>
    <w:uiPriority w:val="0"/>
    <w:pPr>
      <w:widowControl w:val="0"/>
      <w:shd w:val="clear" w:color="auto" w:fill="auto"/>
      <w:spacing w:line="545" w:lineRule="exact"/>
      <w:ind w:firstLine="920"/>
    </w:pPr>
    <w:rPr>
      <w:rFonts w:ascii="宋体" w:hAnsi="宋体" w:eastAsia="宋体" w:cs="宋体"/>
      <w:sz w:val="28"/>
      <w:szCs w:val="28"/>
      <w:u w:val="none"/>
      <w:shd w:val="clear" w:color="auto" w:fill="auto"/>
      <w:lang w:val="zh-TW" w:eastAsia="zh-TW" w:bidi="zh-TW"/>
    </w:rPr>
  </w:style>
  <w:style w:type="character" w:customStyle="1" w:styleId="24">
    <w:name w:val="Other|1_"/>
    <w:basedOn w:val="9"/>
    <w:link w:val="25"/>
    <w:qFormat/>
    <w:uiPriority w:val="0"/>
    <w:rPr>
      <w:rFonts w:ascii="宋体" w:hAnsi="宋体" w:eastAsia="宋体" w:cs="宋体"/>
      <w:u w:val="none"/>
      <w:shd w:val="clear" w:color="auto" w:fill="auto"/>
    </w:rPr>
  </w:style>
  <w:style w:type="paragraph" w:customStyle="1" w:styleId="25">
    <w:name w:val="Other|1"/>
    <w:basedOn w:val="1"/>
    <w:link w:val="24"/>
    <w:qFormat/>
    <w:uiPriority w:val="0"/>
    <w:pPr>
      <w:widowControl w:val="0"/>
      <w:shd w:val="clear" w:color="auto" w:fill="auto"/>
      <w:jc w:val="center"/>
    </w:pPr>
    <w:rPr>
      <w:rFonts w:ascii="宋体" w:hAnsi="宋体" w:eastAsia="宋体" w:cs="宋体"/>
      <w:u w:val="none"/>
      <w:shd w:val="clear" w:color="auto" w:fill="auto"/>
    </w:rPr>
  </w:style>
  <w:style w:type="character" w:customStyle="1" w:styleId="26">
    <w:name w:val="Body text|3_"/>
    <w:basedOn w:val="9"/>
    <w:link w:val="27"/>
    <w:qFormat/>
    <w:uiPriority w:val="0"/>
    <w:rPr>
      <w:rFonts w:ascii="宋体" w:hAnsi="宋体" w:eastAsia="宋体" w:cs="宋体"/>
      <w:sz w:val="14"/>
      <w:szCs w:val="14"/>
      <w:u w:val="none"/>
      <w:shd w:val="clear" w:color="auto" w:fill="auto"/>
      <w:lang w:val="zh-TW" w:eastAsia="zh-TW" w:bidi="zh-TW"/>
    </w:rPr>
  </w:style>
  <w:style w:type="paragraph" w:customStyle="1" w:styleId="27">
    <w:name w:val="Body text|3"/>
    <w:basedOn w:val="1"/>
    <w:link w:val="26"/>
    <w:qFormat/>
    <w:uiPriority w:val="0"/>
    <w:pPr>
      <w:widowControl w:val="0"/>
      <w:shd w:val="clear" w:color="auto" w:fill="auto"/>
    </w:pPr>
    <w:rPr>
      <w:rFonts w:ascii="宋体" w:hAnsi="宋体" w:eastAsia="宋体" w:cs="宋体"/>
      <w:sz w:val="14"/>
      <w:szCs w:val="14"/>
      <w:u w:val="none"/>
      <w:shd w:val="clear" w:color="auto" w:fill="auto"/>
      <w:lang w:val="zh-TW" w:eastAsia="zh-TW" w:bidi="zh-TW"/>
    </w:rPr>
  </w:style>
  <w:style w:type="character" w:customStyle="1" w:styleId="28">
    <w:name w:val="Picture caption|1_"/>
    <w:basedOn w:val="9"/>
    <w:link w:val="29"/>
    <w:qFormat/>
    <w:uiPriority w:val="0"/>
    <w:rPr>
      <w:rFonts w:ascii="宋体" w:hAnsi="宋体" w:eastAsia="宋体" w:cs="宋体"/>
      <w:sz w:val="14"/>
      <w:szCs w:val="14"/>
      <w:u w:val="none"/>
      <w:shd w:val="clear" w:color="auto" w:fill="auto"/>
      <w:lang w:val="zh-TW" w:eastAsia="zh-TW" w:bidi="zh-TW"/>
    </w:rPr>
  </w:style>
  <w:style w:type="paragraph" w:customStyle="1" w:styleId="29">
    <w:name w:val="Picture caption|1"/>
    <w:basedOn w:val="1"/>
    <w:link w:val="28"/>
    <w:qFormat/>
    <w:uiPriority w:val="0"/>
    <w:pPr>
      <w:widowControl w:val="0"/>
      <w:shd w:val="clear" w:color="auto" w:fill="auto"/>
    </w:pPr>
    <w:rPr>
      <w:rFonts w:ascii="宋体" w:hAnsi="宋体" w:eastAsia="宋体" w:cs="宋体"/>
      <w:sz w:val="14"/>
      <w:szCs w:val="14"/>
      <w:u w:val="none"/>
      <w:shd w:val="clear" w:color="auto" w:fill="auto"/>
      <w:lang w:val="zh-TW" w:eastAsia="zh-TW" w:bidi="zh-TW"/>
    </w:rPr>
  </w:style>
  <w:style w:type="character" w:customStyle="1" w:styleId="30">
    <w:name w:val="Body text|5_"/>
    <w:basedOn w:val="9"/>
    <w:link w:val="31"/>
    <w:qFormat/>
    <w:uiPriority w:val="0"/>
    <w:rPr>
      <w:sz w:val="22"/>
      <w:szCs w:val="22"/>
      <w:u w:val="none"/>
      <w:shd w:val="clear" w:color="auto" w:fill="auto"/>
      <w:lang w:val="zh-TW" w:eastAsia="zh-TW" w:bidi="zh-TW"/>
    </w:rPr>
  </w:style>
  <w:style w:type="paragraph" w:customStyle="1" w:styleId="31">
    <w:name w:val="Body text|5"/>
    <w:basedOn w:val="1"/>
    <w:link w:val="30"/>
    <w:qFormat/>
    <w:uiPriority w:val="0"/>
    <w:pPr>
      <w:widowControl w:val="0"/>
      <w:shd w:val="clear" w:color="auto" w:fill="auto"/>
      <w:spacing w:after="160" w:line="538" w:lineRule="exact"/>
      <w:ind w:right="160"/>
      <w:jc w:val="right"/>
    </w:pPr>
    <w:rPr>
      <w:sz w:val="22"/>
      <w:szCs w:val="22"/>
      <w:u w:val="none"/>
      <w:shd w:val="clear" w:color="auto" w:fill="auto"/>
      <w:lang w:val="zh-TW" w:eastAsia="zh-TW" w:bidi="zh-TW"/>
    </w:rPr>
  </w:style>
  <w:style w:type="character" w:customStyle="1" w:styleId="32">
    <w:name w:val="Header or footer|2_"/>
    <w:basedOn w:val="9"/>
    <w:link w:val="33"/>
    <w:qFormat/>
    <w:uiPriority w:val="0"/>
    <w:rPr>
      <w:sz w:val="20"/>
      <w:szCs w:val="20"/>
      <w:u w:val="none"/>
      <w:shd w:val="clear" w:color="auto" w:fill="auto"/>
      <w:lang w:val="zh-TW" w:eastAsia="zh-TW" w:bidi="zh-TW"/>
    </w:rPr>
  </w:style>
  <w:style w:type="paragraph" w:customStyle="1" w:styleId="33">
    <w:name w:val="Header or footer|2"/>
    <w:basedOn w:val="1"/>
    <w:link w:val="32"/>
    <w:qFormat/>
    <w:uiPriority w:val="0"/>
    <w:pPr>
      <w:widowControl w:val="0"/>
      <w:shd w:val="clear" w:color="auto" w:fill="auto"/>
    </w:pPr>
    <w:rPr>
      <w:sz w:val="20"/>
      <w:szCs w:val="20"/>
      <w:u w:val="none"/>
      <w:shd w:val="clear" w:color="auto" w:fill="auto"/>
      <w:lang w:val="zh-TW" w:eastAsia="zh-TW" w:bidi="zh-TW"/>
    </w:rPr>
  </w:style>
  <w:style w:type="character" w:customStyle="1" w:styleId="34">
    <w:name w:val="Heading #4|1_"/>
    <w:basedOn w:val="9"/>
    <w:link w:val="35"/>
    <w:qFormat/>
    <w:uiPriority w:val="0"/>
    <w:rPr>
      <w:rFonts w:ascii="宋体" w:hAnsi="宋体" w:eastAsia="宋体" w:cs="宋体"/>
      <w:b/>
      <w:bCs/>
      <w:sz w:val="28"/>
      <w:szCs w:val="28"/>
      <w:u w:val="single"/>
      <w:shd w:val="clear" w:color="auto" w:fill="auto"/>
      <w:lang w:val="zh-TW" w:eastAsia="zh-TW" w:bidi="zh-TW"/>
    </w:rPr>
  </w:style>
  <w:style w:type="paragraph" w:customStyle="1" w:styleId="35">
    <w:name w:val="Heading #4|1"/>
    <w:basedOn w:val="1"/>
    <w:link w:val="34"/>
    <w:qFormat/>
    <w:uiPriority w:val="0"/>
    <w:pPr>
      <w:widowControl w:val="0"/>
      <w:shd w:val="clear" w:color="auto" w:fill="auto"/>
      <w:spacing w:after="480" w:line="300" w:lineRule="exact"/>
      <w:outlineLvl w:val="3"/>
    </w:pPr>
    <w:rPr>
      <w:rFonts w:ascii="宋体" w:hAnsi="宋体" w:eastAsia="宋体" w:cs="宋体"/>
      <w:b/>
      <w:bCs/>
      <w:sz w:val="28"/>
      <w:szCs w:val="28"/>
      <w:u w:val="single"/>
      <w:shd w:val="clear" w:color="auto" w:fill="auto"/>
      <w:lang w:val="zh-TW" w:eastAsia="zh-TW" w:bidi="zh-TW"/>
    </w:rPr>
  </w:style>
  <w:style w:type="character" w:customStyle="1" w:styleId="36">
    <w:name w:val="Table caption|1_"/>
    <w:basedOn w:val="9"/>
    <w:link w:val="37"/>
    <w:qFormat/>
    <w:uiPriority w:val="0"/>
    <w:rPr>
      <w:rFonts w:ascii="宋体" w:hAnsi="宋体" w:eastAsia="宋体" w:cs="宋体"/>
      <w:sz w:val="14"/>
      <w:szCs w:val="14"/>
      <w:u w:val="none"/>
      <w:shd w:val="clear" w:color="auto" w:fill="auto"/>
      <w:lang w:val="zh-TW" w:eastAsia="zh-TW" w:bidi="zh-TW"/>
    </w:rPr>
  </w:style>
  <w:style w:type="paragraph" w:customStyle="1" w:styleId="37">
    <w:name w:val="Table caption|1"/>
    <w:basedOn w:val="1"/>
    <w:link w:val="36"/>
    <w:qFormat/>
    <w:uiPriority w:val="0"/>
    <w:pPr>
      <w:widowControl w:val="0"/>
      <w:shd w:val="clear" w:color="auto" w:fill="auto"/>
    </w:pPr>
    <w:rPr>
      <w:rFonts w:ascii="宋体" w:hAnsi="宋体" w:eastAsia="宋体" w:cs="宋体"/>
      <w:sz w:val="14"/>
      <w:szCs w:val="14"/>
      <w:u w:val="none"/>
      <w:shd w:val="clear" w:color="auto" w:fill="auto"/>
      <w:lang w:val="zh-TW" w:eastAsia="zh-TW" w:bidi="zh-TW"/>
    </w:rPr>
  </w:style>
  <w:style w:type="character" w:customStyle="1" w:styleId="38">
    <w:name w:val="Header or footer|1_"/>
    <w:basedOn w:val="9"/>
    <w:link w:val="39"/>
    <w:qFormat/>
    <w:uiPriority w:val="0"/>
    <w:rPr>
      <w:rFonts w:ascii="宋体" w:hAnsi="宋体" w:eastAsia="宋体" w:cs="宋体"/>
      <w:b/>
      <w:bCs/>
      <w:sz w:val="17"/>
      <w:szCs w:val="17"/>
      <w:u w:val="none"/>
      <w:shd w:val="clear" w:color="auto" w:fill="auto"/>
      <w:lang w:val="zh-TW" w:eastAsia="zh-TW" w:bidi="zh-TW"/>
    </w:rPr>
  </w:style>
  <w:style w:type="paragraph" w:customStyle="1" w:styleId="39">
    <w:name w:val="Header or footer|1"/>
    <w:basedOn w:val="1"/>
    <w:link w:val="38"/>
    <w:qFormat/>
    <w:uiPriority w:val="0"/>
    <w:pPr>
      <w:widowControl w:val="0"/>
      <w:shd w:val="clear" w:color="auto" w:fill="auto"/>
    </w:pPr>
    <w:rPr>
      <w:rFonts w:ascii="宋体" w:hAnsi="宋体" w:eastAsia="宋体" w:cs="宋体"/>
      <w:b/>
      <w:bCs/>
      <w:sz w:val="17"/>
      <w:szCs w:val="17"/>
      <w:u w:val="none"/>
      <w:shd w:val="clear" w:color="auto" w:fill="auto"/>
      <w:lang w:val="zh-TW" w:eastAsia="zh-TW" w:bidi="zh-TW"/>
    </w:rPr>
  </w:style>
  <w:style w:type="character" w:customStyle="1" w:styleId="40">
    <w:name w:val="Table of contents|1_"/>
    <w:basedOn w:val="9"/>
    <w:link w:val="41"/>
    <w:qFormat/>
    <w:uiPriority w:val="0"/>
    <w:rPr>
      <w:rFonts w:ascii="宋体" w:hAnsi="宋体" w:eastAsia="宋体" w:cs="宋体"/>
      <w:sz w:val="22"/>
      <w:szCs w:val="22"/>
      <w:u w:val="none"/>
      <w:shd w:val="clear" w:color="auto" w:fill="auto"/>
      <w:lang w:val="zh-TW" w:eastAsia="zh-TW" w:bidi="zh-TW"/>
    </w:rPr>
  </w:style>
  <w:style w:type="paragraph" w:customStyle="1" w:styleId="41">
    <w:name w:val="Table of contents|1"/>
    <w:basedOn w:val="1"/>
    <w:link w:val="40"/>
    <w:qFormat/>
    <w:uiPriority w:val="0"/>
    <w:pPr>
      <w:widowControl w:val="0"/>
      <w:shd w:val="clear" w:color="auto" w:fill="auto"/>
      <w:spacing w:after="100" w:line="317" w:lineRule="exact"/>
      <w:ind w:firstLine="210"/>
    </w:pPr>
    <w:rPr>
      <w:rFonts w:ascii="宋体" w:hAnsi="宋体" w:eastAsia="宋体" w:cs="宋体"/>
      <w:sz w:val="22"/>
      <w:szCs w:val="22"/>
      <w:u w:val="none"/>
      <w:shd w:val="clear" w:color="auto" w:fill="auto"/>
      <w:lang w:val="zh-TW" w:eastAsia="zh-TW" w:bidi="zh-TW"/>
    </w:rPr>
  </w:style>
  <w:style w:type="character" w:customStyle="1" w:styleId="42">
    <w:name w:val="Other|2_"/>
    <w:basedOn w:val="9"/>
    <w:link w:val="43"/>
    <w:qFormat/>
    <w:uiPriority w:val="0"/>
    <w:rPr>
      <w:rFonts w:ascii="宋体" w:hAnsi="宋体" w:eastAsia="宋体" w:cs="宋体"/>
      <w:sz w:val="20"/>
      <w:szCs w:val="20"/>
      <w:u w:val="none"/>
      <w:shd w:val="clear" w:color="auto" w:fill="auto"/>
    </w:rPr>
  </w:style>
  <w:style w:type="paragraph" w:customStyle="1" w:styleId="43">
    <w:name w:val="Other|2"/>
    <w:basedOn w:val="1"/>
    <w:link w:val="42"/>
    <w:qFormat/>
    <w:uiPriority w:val="0"/>
    <w:pPr>
      <w:widowControl w:val="0"/>
      <w:shd w:val="clear" w:color="auto" w:fill="auto"/>
      <w:spacing w:before="200"/>
      <w:jc w:val="center"/>
    </w:pPr>
    <w:rPr>
      <w:rFonts w:ascii="宋体" w:hAnsi="宋体" w:eastAsia="宋体" w:cs="宋体"/>
      <w:sz w:val="20"/>
      <w:szCs w:val="20"/>
      <w:u w:val="none"/>
      <w:shd w:val="clear" w:color="auto" w:fill="auto"/>
    </w:rPr>
  </w:style>
  <w:style w:type="character" w:customStyle="1" w:styleId="44">
    <w:name w:val="Heading #5|1_"/>
    <w:basedOn w:val="9"/>
    <w:link w:val="45"/>
    <w:qFormat/>
    <w:uiPriority w:val="0"/>
    <w:rPr>
      <w:rFonts w:ascii="宋体" w:hAnsi="宋体" w:eastAsia="宋体" w:cs="宋体"/>
      <w:sz w:val="28"/>
      <w:szCs w:val="28"/>
      <w:u w:val="none"/>
      <w:shd w:val="clear" w:color="auto" w:fill="auto"/>
      <w:lang w:val="zh-TW" w:eastAsia="zh-TW" w:bidi="zh-TW"/>
    </w:rPr>
  </w:style>
  <w:style w:type="paragraph" w:customStyle="1" w:styleId="45">
    <w:name w:val="Heading #5|1"/>
    <w:basedOn w:val="1"/>
    <w:link w:val="44"/>
    <w:qFormat/>
    <w:uiPriority w:val="0"/>
    <w:pPr>
      <w:widowControl w:val="0"/>
      <w:shd w:val="clear" w:color="auto" w:fill="auto"/>
      <w:outlineLvl w:val="4"/>
    </w:pPr>
    <w:rPr>
      <w:rFonts w:ascii="宋体" w:hAnsi="宋体" w:eastAsia="宋体" w:cs="宋体"/>
      <w:sz w:val="28"/>
      <w:szCs w:val="28"/>
      <w:u w:val="none"/>
      <w:shd w:val="clear" w:color="auto" w:fill="auto"/>
      <w:lang w:val="zh-TW" w:eastAsia="zh-TW" w:bidi="zh-TW"/>
    </w:rPr>
  </w:style>
  <w:style w:type="character" w:customStyle="1" w:styleId="46">
    <w:name w:val="Picture caption|2_"/>
    <w:basedOn w:val="9"/>
    <w:link w:val="47"/>
    <w:qFormat/>
    <w:uiPriority w:val="0"/>
    <w:rPr>
      <w:rFonts w:ascii="宋体" w:hAnsi="宋体" w:eastAsia="宋体" w:cs="宋体"/>
      <w:sz w:val="15"/>
      <w:szCs w:val="15"/>
      <w:u w:val="none"/>
      <w:shd w:val="clear" w:color="auto" w:fill="auto"/>
    </w:rPr>
  </w:style>
  <w:style w:type="paragraph" w:customStyle="1" w:styleId="47">
    <w:name w:val="Picture caption|2"/>
    <w:basedOn w:val="1"/>
    <w:link w:val="46"/>
    <w:qFormat/>
    <w:uiPriority w:val="0"/>
    <w:pPr>
      <w:widowControl w:val="0"/>
      <w:shd w:val="clear" w:color="auto" w:fill="auto"/>
    </w:pPr>
    <w:rPr>
      <w:rFonts w:ascii="宋体" w:hAnsi="宋体" w:eastAsia="宋体" w:cs="宋体"/>
      <w:sz w:val="15"/>
      <w:szCs w:val="15"/>
      <w:u w:val="none"/>
      <w:shd w:val="clear" w:color="auto" w:fill="auto"/>
    </w:rPr>
  </w:style>
  <w:style w:type="character" w:customStyle="1" w:styleId="48">
    <w:name w:val="Heading #5|2_"/>
    <w:basedOn w:val="9"/>
    <w:link w:val="49"/>
    <w:qFormat/>
    <w:uiPriority w:val="0"/>
    <w:rPr>
      <w:rFonts w:ascii="宋体" w:hAnsi="宋体" w:eastAsia="宋体" w:cs="宋体"/>
      <w:u w:val="none"/>
      <w:shd w:val="clear" w:color="auto" w:fill="auto"/>
    </w:rPr>
  </w:style>
  <w:style w:type="paragraph" w:customStyle="1" w:styleId="49">
    <w:name w:val="Heading #5|2"/>
    <w:basedOn w:val="1"/>
    <w:link w:val="48"/>
    <w:qFormat/>
    <w:uiPriority w:val="0"/>
    <w:pPr>
      <w:widowControl w:val="0"/>
      <w:shd w:val="clear" w:color="auto" w:fill="auto"/>
      <w:spacing w:after="60"/>
      <w:ind w:right="280"/>
      <w:jc w:val="right"/>
      <w:outlineLvl w:val="4"/>
    </w:pPr>
    <w:rPr>
      <w:rFonts w:ascii="宋体" w:hAnsi="宋体" w:eastAsia="宋体" w:cs="宋体"/>
      <w:u w:val="none"/>
      <w:shd w:val="clear" w:color="auto" w:fill="auto"/>
    </w:rPr>
  </w:style>
  <w:style w:type="paragraph" w:styleId="50">
    <w:name w:val="List Paragraph"/>
    <w:basedOn w:val="1"/>
    <w:qFormat/>
    <w:uiPriority w:val="0"/>
    <w:pPr>
      <w:ind w:firstLine="420" w:firstLineChars="200"/>
    </w:pPr>
  </w:style>
  <w:style w:type="paragraph" w:customStyle="1" w:styleId="5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7119</Words>
  <Characters>7569</Characters>
  <TotalTime>2</TotalTime>
  <ScaleCrop>false</ScaleCrop>
  <LinksUpToDate>false</LinksUpToDate>
  <CharactersWithSpaces>7588</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2023-06-19T02:11:00Z</dcterms:created>
  <dc:creator>jlcwchz</dc:creator>
  <cp:lastModifiedBy>张骞</cp:lastModifiedBy>
  <dcterms:modified xsi:type="dcterms:W3CDTF">2023-07-21T05:39:31Z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CB4B438DD167452B8C67299F6728DE0F</vt:lpwstr>
  </property>
</Properties>
</file>