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highlight w:val="none"/>
          <w:lang w:eastAsia="zh-CN"/>
        </w:rPr>
      </w:pPr>
      <w:bookmarkStart w:id="0" w:name="bookmark2"/>
      <w:bookmarkStart w:id="1" w:name="bookmark0"/>
      <w:bookmarkStart w:id="2" w:name="bookmark1"/>
      <w:r>
        <w:rPr>
          <w:rFonts w:hint="eastAsia"/>
          <w:highlight w:val="none"/>
          <w:lang w:eastAsia="zh-CN"/>
        </w:rPr>
        <w:drawing>
          <wp:inline distT="0" distB="0" distL="114300" distR="114300">
            <wp:extent cx="2378710" cy="503555"/>
            <wp:effectExtent l="0" t="0" r="13970" b="0"/>
            <wp:docPr id="2" name="图片 1" descr="10bfa8d60371d3c3514f74353bfc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bfa8d60371d3c3514f74353bfc099"/>
                    <pic:cNvPicPr>
                      <a:picLocks noChangeAspect="1"/>
                    </pic:cNvPicPr>
                  </pic:nvPicPr>
                  <pic:blipFill>
                    <a:blip r:embed="rId10"/>
                    <a:stretch>
                      <a:fillRect/>
                    </a:stretch>
                  </pic:blipFill>
                  <pic:spPr>
                    <a:xfrm>
                      <a:off x="0" y="0"/>
                      <a:ext cx="2378710" cy="503555"/>
                    </a:xfrm>
                    <a:prstGeom prst="rect">
                      <a:avLst/>
                    </a:prstGeom>
                    <a:noFill/>
                    <a:ln>
                      <a:noFill/>
                    </a:ln>
                  </pic:spPr>
                </pic:pic>
              </a:graphicData>
            </a:graphic>
          </wp:inline>
        </w:drawing>
      </w:r>
    </w:p>
    <w:bookmarkEnd w:id="0"/>
    <w:p>
      <w:pPr>
        <w:pStyle w:val="3"/>
        <w:bidi w:val="0"/>
        <w:jc w:val="center"/>
        <w:outlineLvl w:val="9"/>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bidi w:val="0"/>
        <w:jc w:val="center"/>
        <w:rPr>
          <w:rFonts w:hint="eastAsia" w:ascii="宋体" w:hAnsi="宋体" w:eastAsia="宋体" w:cs="宋体"/>
          <w:b/>
          <w:bCs/>
          <w:sz w:val="72"/>
          <w:szCs w:val="72"/>
          <w:lang w:eastAsia="zh-CN"/>
        </w:rPr>
      </w:pPr>
      <w:r>
        <w:rPr>
          <w:rFonts w:hint="eastAsia" w:ascii="宋体" w:hAnsi="宋体" w:eastAsia="宋体" w:cs="宋体"/>
          <w:b/>
          <w:bCs/>
          <w:sz w:val="72"/>
          <w:szCs w:val="72"/>
          <w:lang w:val="en-US" w:eastAsia="zh-CN"/>
        </w:rPr>
        <w:t>鞍钢集团财务有限责任公司</w:t>
      </w:r>
    </w:p>
    <w:p>
      <w:pPr>
        <w:bidi w:val="0"/>
        <w:jc w:val="center"/>
        <w:rPr>
          <w:rFonts w:hint="eastAsia" w:ascii="宋体" w:hAnsi="宋体" w:eastAsia="宋体" w:cs="宋体"/>
          <w:b/>
          <w:bCs/>
          <w:sz w:val="72"/>
          <w:szCs w:val="72"/>
        </w:rPr>
      </w:pPr>
      <w:bookmarkStart w:id="3" w:name="bookmark3"/>
      <w:r>
        <w:rPr>
          <w:rFonts w:hint="eastAsia" w:ascii="宋体" w:hAnsi="宋体" w:eastAsia="宋体" w:cs="宋体"/>
          <w:b/>
          <w:bCs/>
          <w:sz w:val="72"/>
          <w:szCs w:val="72"/>
        </w:rPr>
        <w:t>202</w:t>
      </w:r>
      <w:r>
        <w:rPr>
          <w:rFonts w:hint="eastAsia" w:ascii="宋体" w:hAnsi="宋体" w:eastAsia="宋体" w:cs="宋体"/>
          <w:b/>
          <w:bCs/>
          <w:sz w:val="72"/>
          <w:szCs w:val="72"/>
          <w:lang w:val="en-US" w:eastAsia="zh-CN"/>
        </w:rPr>
        <w:t>3</w:t>
      </w:r>
      <w:r>
        <w:rPr>
          <w:rFonts w:hint="eastAsia" w:ascii="宋体" w:hAnsi="宋体" w:eastAsia="宋体" w:cs="宋体"/>
          <w:b/>
          <w:bCs/>
          <w:sz w:val="72"/>
          <w:szCs w:val="72"/>
        </w:rPr>
        <w:t>年度信息披露报告</w:t>
      </w:r>
      <w:bookmarkEnd w:id="1"/>
      <w:bookmarkEnd w:id="2"/>
      <w:bookmarkEnd w:id="3"/>
    </w:p>
    <w:p>
      <w:pPr>
        <w:bidi w:val="0"/>
        <w:rPr>
          <w:rFonts w:hint="eastAsia" w:ascii="宋体" w:hAnsi="宋体" w:eastAsia="宋体" w:cs="宋体"/>
          <w:sz w:val="44"/>
          <w:szCs w:val="44"/>
          <w:lang w:val="zh-TW" w:eastAsia="zh-TW"/>
        </w:rPr>
      </w:pPr>
      <w:bookmarkStart w:id="4" w:name="bookmark4"/>
      <w:bookmarkStart w:id="5" w:name="bookmark5"/>
      <w:bookmarkStart w:id="6" w:name="bookmark6"/>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rPr>
          <w:rFonts w:hint="eastAsia" w:ascii="宋体" w:hAnsi="宋体" w:eastAsia="宋体" w:cs="宋体"/>
          <w:sz w:val="44"/>
          <w:szCs w:val="44"/>
          <w:lang w:val="zh-TW" w:eastAsia="zh-TW"/>
        </w:rPr>
      </w:pPr>
    </w:p>
    <w:p>
      <w:pPr>
        <w:bidi w:val="0"/>
        <w:ind w:firstLine="3092" w:firstLineChars="700"/>
        <w:rPr>
          <w:rFonts w:hint="eastAsia" w:ascii="宋体" w:hAnsi="宋体" w:eastAsia="宋体" w:cs="宋体"/>
          <w:b/>
          <w:bCs/>
          <w:sz w:val="44"/>
          <w:szCs w:val="44"/>
          <w:lang w:val="en-US" w:eastAsia="zh-CN"/>
        </w:rPr>
      </w:pPr>
      <w:r>
        <w:rPr>
          <w:rFonts w:hint="eastAsia" w:ascii="宋体" w:hAnsi="宋体" w:eastAsia="宋体" w:cs="宋体"/>
          <w:b/>
          <w:bCs/>
          <w:sz w:val="44"/>
          <w:szCs w:val="44"/>
          <w:lang w:val="zh-TW" w:eastAsia="zh-TW"/>
        </w:rPr>
        <w:t>二</w:t>
      </w:r>
      <w:r>
        <w:rPr>
          <w:rFonts w:hint="eastAsia" w:ascii="宋体" w:hAnsi="宋体" w:eastAsia="宋体" w:cs="宋体"/>
          <w:b/>
          <w:bCs/>
          <w:sz w:val="44"/>
          <w:szCs w:val="44"/>
          <w:lang w:val="en-US" w:eastAsia="zh-CN"/>
        </w:rPr>
        <w:t>〇</w:t>
      </w:r>
      <w:r>
        <w:rPr>
          <w:rFonts w:hint="eastAsia" w:ascii="宋体" w:hAnsi="宋体" w:eastAsia="宋体" w:cs="宋体"/>
          <w:b/>
          <w:bCs/>
          <w:sz w:val="44"/>
          <w:szCs w:val="44"/>
          <w:lang w:val="zh-TW" w:eastAsia="zh-TW"/>
        </w:rPr>
        <w:t>二</w:t>
      </w:r>
      <w:r>
        <w:rPr>
          <w:rFonts w:hint="eastAsia" w:ascii="宋体" w:hAnsi="宋体" w:eastAsia="宋体" w:cs="宋体"/>
          <w:b/>
          <w:bCs/>
          <w:sz w:val="44"/>
          <w:szCs w:val="44"/>
          <w:lang w:val="en-US" w:eastAsia="zh-CN"/>
        </w:rPr>
        <w:t>四</w:t>
      </w:r>
      <w:r>
        <w:rPr>
          <w:rFonts w:hint="eastAsia" w:ascii="宋体" w:hAnsi="宋体" w:eastAsia="宋体" w:cs="宋体"/>
          <w:b/>
          <w:bCs/>
          <w:sz w:val="44"/>
          <w:szCs w:val="44"/>
          <w:lang w:val="zh-TW" w:eastAsia="zh-TW"/>
        </w:rPr>
        <w:t>年</w:t>
      </w:r>
      <w:bookmarkEnd w:id="4"/>
      <w:bookmarkEnd w:id="5"/>
      <w:bookmarkEnd w:id="6"/>
      <w:r>
        <w:rPr>
          <w:rFonts w:hint="eastAsia" w:ascii="宋体" w:hAnsi="宋体" w:eastAsia="宋体" w:cs="宋体"/>
          <w:b/>
          <w:bCs/>
          <w:sz w:val="44"/>
          <w:szCs w:val="44"/>
          <w:lang w:val="en-US" w:eastAsia="zh-CN"/>
        </w:rPr>
        <w:t>四月</w:t>
      </w:r>
      <w:bookmarkStart w:id="7" w:name="bookmark9"/>
      <w:bookmarkStart w:id="8" w:name="bookmark7"/>
      <w:bookmarkStart w:id="9" w:name="bookmark8"/>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rPr>
      </w:pPr>
      <w:bookmarkStart w:id="10" w:name="_Toc31101"/>
      <w:r>
        <w:rPr>
          <w:rFonts w:hint="eastAsia"/>
          <w:highlight w:val="none"/>
          <w:lang w:val="en-US" w:eastAsia="zh-CN"/>
        </w:rPr>
        <w:t>一</w:t>
      </w:r>
      <w:r>
        <w:rPr>
          <w:rFonts w:hint="eastAsia"/>
          <w:highlight w:val="none"/>
          <w:lang w:val="zh-CN" w:eastAsia="zh-CN"/>
        </w:rPr>
        <w:t>、</w:t>
      </w:r>
      <w:r>
        <w:rPr>
          <w:rFonts w:hint="eastAsia"/>
          <w:highlight w:val="none"/>
        </w:rPr>
        <w:t>公司基本信息</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法定名称：</w:t>
      </w:r>
      <w:r>
        <w:rPr>
          <w:rFonts w:hint="eastAsia" w:ascii="仿宋_GB2312" w:hAnsi="仿宋_GB2312" w:eastAsia="仿宋_GB2312" w:cs="仿宋_GB2312"/>
          <w:sz w:val="32"/>
          <w:szCs w:val="32"/>
          <w:highlight w:val="none"/>
          <w:lang w:val="en-US" w:eastAsia="zh-CN"/>
        </w:rPr>
        <w:t>鞍钢集团财务有限责任公司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注册资本：</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sz w:val="32"/>
          <w:szCs w:val="32"/>
          <w:highlight w:val="none"/>
        </w:rPr>
        <w:t>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注册地址：</w:t>
      </w:r>
      <w:r>
        <w:rPr>
          <w:rFonts w:hint="eastAsia" w:ascii="仿宋_GB2312" w:hAnsi="仿宋_GB2312" w:eastAsia="仿宋_GB2312" w:cs="仿宋_GB2312"/>
          <w:b w:val="0"/>
          <w:bCs w:val="0"/>
          <w:sz w:val="32"/>
          <w:szCs w:val="32"/>
          <w:highlight w:val="none"/>
          <w:lang w:val="en-US" w:eastAsia="zh-CN"/>
        </w:rPr>
        <w:t>辽宁</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val="en-US" w:eastAsia="zh-CN"/>
        </w:rPr>
        <w:t>鞍山市铁东区胜利路31号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成立时间：</w:t>
      </w:r>
      <w:r>
        <w:rPr>
          <w:rFonts w:hint="eastAsia" w:ascii="仿宋_GB2312" w:hAnsi="仿宋_GB2312" w:eastAsia="仿宋_GB2312" w:cs="仿宋_GB2312"/>
          <w:sz w:val="32"/>
          <w:szCs w:val="32"/>
          <w:highlight w:val="none"/>
        </w:rPr>
        <w:t>199</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月2日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经营范围：</w:t>
      </w:r>
      <w:r>
        <w:rPr>
          <w:rFonts w:hint="eastAsia" w:ascii="仿宋_GB2312" w:hAnsi="仿宋_GB2312" w:eastAsia="仿宋_GB2312" w:cs="仿宋_GB2312"/>
          <w:sz w:val="32"/>
          <w:szCs w:val="32"/>
          <w:highlight w:val="none"/>
          <w:lang w:val="en-US" w:eastAsia="zh-CN"/>
        </w:rPr>
        <w:t>（一）吸收成员单位存款；</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（二）办理成员单位贷款；</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（三）办理成员单位票据贴现；</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（四）办理成员单位资金结算与收付；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3194" w:leftChars="931" w:hanging="960" w:hangingChars="3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（五）提供成员单位委托贷款、债券承销、非融资性保函、财务顾问、信用鉴证及咨询代理业务；</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（六）从事同业拆借；</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（七）办理成员单位票据承兑；</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（八）从事固定收益类有价证券投资；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（九）对成员单位办理融资租赁业务；</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（十）国家金融监督管理总局批准的其他业务。</w:t>
      </w:r>
      <w:bookmarkStart w:id="11" w:name="bookmark12"/>
      <w:bookmarkStart w:id="12" w:name="bookmark10"/>
      <w:bookmarkStart w:id="13" w:name="bookmark11"/>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eastAsia="黑体"/>
          <w:highlight w:val="none"/>
          <w:lang w:val="en-US" w:eastAsia="zh-CN"/>
        </w:rPr>
      </w:pPr>
      <w:bookmarkStart w:id="14" w:name="_Toc14892"/>
      <w:r>
        <w:rPr>
          <w:rFonts w:hint="eastAsia"/>
          <w:highlight w:val="none"/>
        </w:rPr>
        <w:t>二、公司治理</w:t>
      </w:r>
      <w:bookmarkEnd w:id="11"/>
      <w:r>
        <w:rPr>
          <w:rFonts w:hint="eastAsia"/>
          <w:highlight w:val="none"/>
          <w:lang w:val="en-US" w:eastAsia="zh-CN"/>
        </w:rPr>
        <w:t>信息</w:t>
      </w:r>
      <w:bookmarkEnd w:id="14"/>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15" w:name="bookmark13"/>
      <w:bookmarkStart w:id="16" w:name="bookmark14"/>
      <w:r>
        <w:rPr>
          <w:rFonts w:hint="eastAsia" w:ascii="楷体_GB2312" w:hAnsi="楷体_GB2312" w:eastAsia="楷体_GB2312" w:cs="楷体_GB2312"/>
          <w:b/>
          <w:bCs/>
          <w:sz w:val="32"/>
          <w:szCs w:val="32"/>
          <w:highlight w:val="none"/>
        </w:rPr>
        <w:t>（</w:t>
      </w:r>
      <w:bookmarkEnd w:id="15"/>
      <w:r>
        <w:rPr>
          <w:rFonts w:hint="eastAsia" w:ascii="楷体_GB2312" w:hAnsi="楷体_GB2312" w:eastAsia="楷体_GB2312" w:cs="楷体_GB2312"/>
          <w:b/>
          <w:bCs/>
          <w:sz w:val="32"/>
          <w:szCs w:val="32"/>
          <w:highlight w:val="none"/>
        </w:rPr>
        <w:t>一）实际控制人及其控制本公司情况的简要说明</w:t>
      </w:r>
      <w:bookmarkEnd w:id="12"/>
      <w:bookmarkEnd w:id="13"/>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鞍钢集团财务有限责任公司（以下简称鞍钢财务公司或公司）</w:t>
      </w:r>
      <w:r>
        <w:rPr>
          <w:rFonts w:hint="eastAsia" w:ascii="仿宋_GB2312" w:hAnsi="仿宋_GB2312" w:eastAsia="仿宋_GB2312" w:cs="仿宋_GB2312"/>
          <w:sz w:val="32"/>
          <w:szCs w:val="32"/>
          <w:highlight w:val="none"/>
        </w:rPr>
        <w:t>实际控制人为</w:t>
      </w:r>
      <w:r>
        <w:rPr>
          <w:rFonts w:hint="eastAsia" w:ascii="仿宋_GB2312" w:hAnsi="仿宋_GB2312" w:eastAsia="仿宋_GB2312" w:cs="仿宋_GB2312"/>
          <w:sz w:val="32"/>
          <w:szCs w:val="32"/>
          <w:highlight w:val="none"/>
          <w:lang w:val="en-US" w:eastAsia="zh-CN"/>
        </w:rPr>
        <w:t>鞍钢集团有限公司</w:t>
      </w:r>
      <w:r>
        <w:rPr>
          <w:rFonts w:hint="eastAsia" w:ascii="仿宋_GB2312" w:hAnsi="等线" w:eastAsia="仿宋_GB2312" w:cs="黑体"/>
          <w:sz w:val="32"/>
          <w:szCs w:val="32"/>
          <w:lang w:val="en-US" w:eastAsia="zh-CN"/>
        </w:rPr>
        <w:t>（以下简称鞍钢集团）</w:t>
      </w:r>
      <w:r>
        <w:rPr>
          <w:rFonts w:hint="eastAsia" w:ascii="仿宋_GB2312" w:hAnsi="仿宋_GB2312" w:eastAsia="仿宋_GB2312" w:cs="仿宋_GB2312"/>
          <w:sz w:val="32"/>
          <w:szCs w:val="32"/>
          <w:highlight w:val="none"/>
        </w:rPr>
        <w:t>，持有</w:t>
      </w:r>
      <w:r>
        <w:rPr>
          <w:rFonts w:hint="eastAsia" w:ascii="仿宋_GB2312" w:hAnsi="仿宋_GB2312" w:eastAsia="仿宋_GB2312" w:cs="仿宋_GB2312"/>
          <w:sz w:val="32"/>
          <w:szCs w:val="32"/>
          <w:highlight w:val="none"/>
          <w:lang w:val="en-US" w:eastAsia="zh-CN"/>
        </w:rPr>
        <w:t>鞍钢财务公司70</w:t>
      </w:r>
      <w:r>
        <w:rPr>
          <w:rFonts w:hint="eastAsia" w:ascii="仿宋_GB2312" w:hAnsi="仿宋_GB2312" w:eastAsia="仿宋_GB2312" w:cs="仿宋_GB2312"/>
          <w:sz w:val="32"/>
          <w:szCs w:val="32"/>
          <w:highlight w:val="none"/>
        </w:rPr>
        <w:t>%的股权。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17" w:name="bookmark15"/>
      <w:r>
        <w:rPr>
          <w:rFonts w:hint="eastAsia" w:ascii="楷体_GB2312" w:hAnsi="楷体_GB2312" w:eastAsia="楷体_GB2312" w:cs="楷体_GB2312"/>
          <w:b/>
          <w:bCs/>
          <w:sz w:val="32"/>
          <w:szCs w:val="32"/>
          <w:highlight w:val="none"/>
        </w:rPr>
        <w:t>（</w:t>
      </w:r>
      <w:bookmarkEnd w:id="17"/>
      <w:r>
        <w:rPr>
          <w:rFonts w:hint="eastAsia" w:ascii="楷体_GB2312" w:hAnsi="楷体_GB2312" w:eastAsia="楷体_GB2312" w:cs="楷体_GB2312"/>
          <w:b/>
          <w:bCs/>
          <w:sz w:val="32"/>
          <w:szCs w:val="32"/>
          <w:highlight w:val="none"/>
        </w:rPr>
        <w:t>二）股东</w:t>
      </w:r>
      <w:r>
        <w:rPr>
          <w:rFonts w:hint="eastAsia" w:ascii="楷体_GB2312" w:hAnsi="楷体_GB2312" w:eastAsia="楷体_GB2312" w:cs="楷体_GB2312"/>
          <w:b/>
          <w:bCs/>
          <w:sz w:val="32"/>
          <w:szCs w:val="32"/>
          <w:highlight w:val="none"/>
          <w:lang w:val="en-US" w:eastAsia="zh-CN"/>
        </w:rPr>
        <w:t>及其持股变化</w:t>
      </w:r>
      <w:r>
        <w:rPr>
          <w:rFonts w:hint="eastAsia" w:ascii="楷体_GB2312" w:hAnsi="楷体_GB2312" w:eastAsia="楷体_GB2312" w:cs="楷体_GB2312"/>
          <w:b/>
          <w:bCs/>
          <w:sz w:val="32"/>
          <w:szCs w:val="32"/>
          <w:highlight w:val="none"/>
        </w:rPr>
        <w:t>情况</w:t>
      </w:r>
    </w:p>
    <w:p>
      <w:pPr>
        <w:keepNext w:val="0"/>
        <w:keepLines w:val="0"/>
        <w:pageBreakBefore w:val="0"/>
        <w:widowControl w:val="0"/>
        <w:tabs>
          <w:tab w:val="left" w:pos="1440"/>
          <w:tab w:val="left" w:pos="180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lang w:val="en-US" w:eastAsia="zh-CN"/>
        </w:rPr>
      </w:pPr>
      <w:bookmarkStart w:id="18" w:name="bookmark18"/>
      <w:bookmarkStart w:id="19" w:name="bookmark19"/>
      <w:bookmarkStart w:id="20" w:name="bookmark16"/>
      <w:bookmarkStart w:id="21" w:name="bookmark17"/>
      <w:r>
        <w:rPr>
          <w:rFonts w:hint="eastAsia" w:ascii="仿宋_GB2312" w:hAnsi="仿宋_GB2312" w:eastAsia="仿宋_GB2312" w:cs="仿宋_GB2312"/>
          <w:b w:val="0"/>
          <w:bCs/>
          <w:color w:val="auto"/>
          <w:sz w:val="32"/>
          <w:szCs w:val="32"/>
          <w:highlight w:val="none"/>
          <w:lang w:val="en-US" w:eastAsia="zh-CN"/>
        </w:rPr>
        <w:t>公司有3家股东，</w:t>
      </w:r>
      <w:r>
        <w:rPr>
          <w:rFonts w:hint="eastAsia" w:ascii="仿宋_GB2312" w:hAnsi="等线" w:eastAsia="仿宋_GB2312" w:cs="黑体"/>
          <w:sz w:val="32"/>
          <w:szCs w:val="32"/>
          <w:lang w:val="en-US" w:eastAsia="zh-CN"/>
        </w:rPr>
        <w:t>分别为鞍钢集团、鞍钢股份有限公司（以下简称鞍钢股份）和</w:t>
      </w:r>
      <w:r>
        <w:rPr>
          <w:rFonts w:hint="default" w:ascii="仿宋_GB2312" w:hAnsi="等线" w:eastAsia="仿宋_GB2312" w:cs="黑体"/>
          <w:sz w:val="32"/>
          <w:szCs w:val="32"/>
          <w:lang w:val="en-US" w:eastAsia="zh-CN"/>
        </w:rPr>
        <w:t>攀钢集团钒钛资源股份有限公司</w:t>
      </w:r>
      <w:r>
        <w:rPr>
          <w:rFonts w:hint="eastAsia" w:ascii="仿宋_GB2312" w:hAnsi="等线" w:eastAsia="仿宋_GB2312" w:cs="黑体"/>
          <w:sz w:val="32"/>
          <w:szCs w:val="32"/>
          <w:lang w:val="en-US" w:eastAsia="zh-CN"/>
        </w:rPr>
        <w:t>（以下简称钒钛股份）</w:t>
      </w:r>
      <w:r>
        <w:rPr>
          <w:rFonts w:hint="eastAsia" w:ascii="仿宋_GB2312" w:hAnsi="仿宋_GB2312" w:eastAsia="仿宋_GB2312" w:cs="仿宋_GB2312"/>
          <w:b w:val="0"/>
          <w:bCs/>
          <w:color w:val="auto"/>
          <w:sz w:val="32"/>
          <w:szCs w:val="32"/>
          <w:highlight w:val="none"/>
          <w:lang w:val="en-US" w:eastAsia="zh-CN"/>
        </w:rPr>
        <w:t>，具体出资情况见下表：</w:t>
      </w:r>
    </w:p>
    <w:p>
      <w:pPr>
        <w:tabs>
          <w:tab w:val="left" w:pos="1440"/>
          <w:tab w:val="left" w:pos="1800"/>
        </w:tabs>
        <w:spacing w:line="560" w:lineRule="exact"/>
        <w:ind w:firstLine="6828" w:firstLineChars="3250"/>
        <w:rPr>
          <w:rFonts w:hint="eastAsia" w:ascii="仿宋_GB2312" w:eastAsia="仿宋_GB2312"/>
          <w:color w:val="auto"/>
          <w:sz w:val="21"/>
          <w:szCs w:val="21"/>
          <w:highlight w:val="none"/>
        </w:rPr>
      </w:pPr>
      <w:r>
        <w:rPr>
          <w:b/>
          <w:color w:val="auto"/>
          <w:sz w:val="21"/>
          <w:szCs w:val="21"/>
          <w:highlight w:val="none"/>
        </w:rPr>
        <w:t>单位：</w:t>
      </w:r>
      <w:r>
        <w:rPr>
          <w:rFonts w:hint="eastAsia" w:eastAsia="宋体"/>
          <w:b/>
          <w:color w:val="auto"/>
          <w:sz w:val="21"/>
          <w:szCs w:val="21"/>
          <w:highlight w:val="none"/>
          <w:lang w:val="en-US" w:eastAsia="zh-CN"/>
        </w:rPr>
        <w:t>万</w:t>
      </w:r>
      <w:r>
        <w:rPr>
          <w:b/>
          <w:color w:val="auto"/>
          <w:sz w:val="21"/>
          <w:szCs w:val="21"/>
          <w:highlight w:val="none"/>
        </w:rPr>
        <w:t>元</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933"/>
        <w:gridCol w:w="2071"/>
        <w:gridCol w:w="1036"/>
        <w:gridCol w:w="1742"/>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705"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序号</w:t>
            </w:r>
          </w:p>
        </w:tc>
        <w:tc>
          <w:tcPr>
            <w:tcW w:w="1933"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股东名称</w:t>
            </w:r>
          </w:p>
        </w:tc>
        <w:tc>
          <w:tcPr>
            <w:tcW w:w="207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认缴注册资本总额</w:t>
            </w:r>
          </w:p>
        </w:tc>
        <w:tc>
          <w:tcPr>
            <w:tcW w:w="1036"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出资方式</w:t>
            </w:r>
          </w:p>
        </w:tc>
        <w:tc>
          <w:tcPr>
            <w:tcW w:w="1742"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b/>
                <w:i w:val="0"/>
                <w:color w:val="auto"/>
                <w:sz w:val="21"/>
                <w:szCs w:val="21"/>
                <w:highlight w:val="none"/>
                <w:u w:val="none"/>
              </w:rPr>
            </w:pPr>
            <w:r>
              <w:rPr>
                <w:rFonts w:hint="eastAsia" w:ascii="仿宋_GB2312" w:hAnsi="宋体" w:eastAsia="仿宋_GB2312" w:cs="仿宋_GB2312"/>
                <w:b/>
                <w:i w:val="0"/>
                <w:color w:val="auto"/>
                <w:kern w:val="0"/>
                <w:sz w:val="21"/>
                <w:szCs w:val="21"/>
                <w:highlight w:val="none"/>
                <w:u w:val="none"/>
                <w:lang w:val="en-US" w:eastAsia="zh-CN" w:bidi="ar"/>
              </w:rPr>
              <w:t>出资时间</w:t>
            </w:r>
          </w:p>
        </w:tc>
        <w:tc>
          <w:tcPr>
            <w:tcW w:w="988"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b/>
                <w:i w:val="0"/>
                <w:color w:val="auto"/>
                <w:sz w:val="21"/>
                <w:szCs w:val="21"/>
                <w:highlight w:val="none"/>
                <w:u w:val="none"/>
                <w:lang w:val="en-US"/>
              </w:rPr>
            </w:pPr>
            <w:r>
              <w:rPr>
                <w:rFonts w:hint="eastAsia" w:ascii="仿宋_GB2312" w:hAnsi="宋体" w:eastAsia="仿宋_GB2312" w:cs="仿宋_GB2312"/>
                <w:b/>
                <w:i w:val="0"/>
                <w:color w:val="auto"/>
                <w:kern w:val="0"/>
                <w:sz w:val="21"/>
                <w:szCs w:val="21"/>
                <w:highlight w:val="none"/>
                <w:u w:val="none"/>
                <w:lang w:val="en-US" w:eastAsia="zh-CN" w:bidi="ar"/>
              </w:rPr>
              <w:t>出资比例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705"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1933"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2071"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1036"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1742"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c>
          <w:tcPr>
            <w:tcW w:w="988" w:type="dxa"/>
            <w:vMerge w:val="continue"/>
            <w:tcBorders>
              <w:tl2br w:val="nil"/>
              <w:tr2bl w:val="nil"/>
            </w:tcBorders>
            <w:noWrap w:val="0"/>
            <w:tcMar>
              <w:top w:w="15" w:type="dxa"/>
              <w:left w:w="15" w:type="dxa"/>
              <w:right w:w="15" w:type="dxa"/>
            </w:tcMar>
            <w:vAlign w:val="center"/>
          </w:tcPr>
          <w:p>
            <w:pPr>
              <w:suppressLineNumbers w:val="0"/>
              <w:spacing w:beforeAutospacing="0" w:afterAutospacing="0"/>
              <w:jc w:val="center"/>
              <w:rPr>
                <w:rFonts w:hint="eastAsia" w:ascii="仿宋_GB2312" w:hAnsi="宋体" w:eastAsia="仿宋_GB2312" w:cs="仿宋_GB2312"/>
                <w:b/>
                <w:i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5"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1</w:t>
            </w:r>
          </w:p>
        </w:tc>
        <w:tc>
          <w:tcPr>
            <w:tcW w:w="1933"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鞍钢集团有限公司</w:t>
            </w:r>
          </w:p>
        </w:tc>
        <w:tc>
          <w:tcPr>
            <w:tcW w:w="2071" w:type="dxa"/>
            <w:tcBorders>
              <w:tl2br w:val="nil"/>
              <w:tr2bl w:val="nil"/>
            </w:tcBorders>
            <w:noWrap w:val="0"/>
            <w:tcMar>
              <w:top w:w="15" w:type="dxa"/>
              <w:left w:w="15" w:type="dxa"/>
              <w:right w:w="15" w:type="dxa"/>
            </w:tcMar>
            <w:vAlign w:val="center"/>
          </w:tcPr>
          <w:p>
            <w:pPr>
              <w:keepNext w:val="0"/>
              <w:keepLines w:val="0"/>
              <w:widowControl/>
              <w:suppressLineNumbers w:val="0"/>
              <w:shd w:val="clear" w:color="auto" w:fill="auto"/>
              <w:spacing w:beforeAutospacing="0" w:afterAutospacing="0"/>
              <w:jc w:val="center"/>
              <w:textAlignment w:val="center"/>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350,000</w:t>
            </w:r>
          </w:p>
        </w:tc>
        <w:tc>
          <w:tcPr>
            <w:tcW w:w="1036"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i w:val="0"/>
                <w:color w:val="auto"/>
                <w:sz w:val="21"/>
                <w:szCs w:val="21"/>
                <w:highlight w:val="none"/>
                <w:u w:val="none"/>
                <w:lang w:val="en-US"/>
              </w:rPr>
            </w:pPr>
            <w:r>
              <w:rPr>
                <w:rFonts w:hint="eastAsia" w:ascii="仿宋_GB2312" w:hAnsi="宋体" w:eastAsia="仿宋_GB2312" w:cs="仿宋_GB2312"/>
                <w:i w:val="0"/>
                <w:color w:val="auto"/>
                <w:kern w:val="0"/>
                <w:sz w:val="21"/>
                <w:szCs w:val="21"/>
                <w:highlight w:val="none"/>
                <w:u w:val="none"/>
                <w:lang w:val="en-US" w:eastAsia="zh-CN" w:bidi="ar"/>
              </w:rPr>
              <w:t>货币</w:t>
            </w:r>
          </w:p>
        </w:tc>
        <w:tc>
          <w:tcPr>
            <w:tcW w:w="1742"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default" w:ascii="仿宋_GB2312" w:hAnsi="宋体" w:eastAsia="仿宋_GB2312" w:cs="仿宋_GB2312"/>
                <w:i w:val="0"/>
                <w:color w:val="auto"/>
                <w:sz w:val="21"/>
                <w:szCs w:val="21"/>
                <w:highlight w:val="none"/>
                <w:u w:val="none"/>
                <w:lang w:val="en-US"/>
              </w:rPr>
            </w:pPr>
            <w:r>
              <w:rPr>
                <w:rFonts w:hint="eastAsia" w:ascii="仿宋_GB2312" w:hAnsi="宋体" w:eastAsia="仿宋_GB2312" w:cs="仿宋_GB2312"/>
                <w:i w:val="0"/>
                <w:color w:val="auto"/>
                <w:kern w:val="0"/>
                <w:sz w:val="21"/>
                <w:szCs w:val="21"/>
                <w:highlight w:val="none"/>
                <w:u w:val="none"/>
                <w:lang w:val="en-US" w:eastAsia="zh-CN" w:bidi="ar"/>
              </w:rPr>
              <w:t>2022年11月11日</w:t>
            </w:r>
          </w:p>
        </w:tc>
        <w:tc>
          <w:tcPr>
            <w:tcW w:w="988"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5"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2</w:t>
            </w:r>
          </w:p>
        </w:tc>
        <w:tc>
          <w:tcPr>
            <w:tcW w:w="1933"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鞍钢股份有限公司</w:t>
            </w:r>
          </w:p>
        </w:tc>
        <w:tc>
          <w:tcPr>
            <w:tcW w:w="2071" w:type="dxa"/>
            <w:tcBorders>
              <w:tl2br w:val="nil"/>
              <w:tr2bl w:val="nil"/>
            </w:tcBorders>
            <w:noWrap w:val="0"/>
            <w:tcMar>
              <w:top w:w="15" w:type="dxa"/>
              <w:left w:w="15" w:type="dxa"/>
              <w:right w:w="15" w:type="dxa"/>
            </w:tcMar>
            <w:vAlign w:val="center"/>
          </w:tcPr>
          <w:p>
            <w:pPr>
              <w:keepNext w:val="0"/>
              <w:keepLines w:val="0"/>
              <w:widowControl/>
              <w:suppressLineNumbers w:val="0"/>
              <w:shd w:val="clear" w:color="auto" w:fill="auto"/>
              <w:spacing w:beforeAutospacing="0" w:afterAutospacing="0"/>
              <w:jc w:val="center"/>
              <w:textAlignment w:val="center"/>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100,000</w:t>
            </w:r>
          </w:p>
        </w:tc>
        <w:tc>
          <w:tcPr>
            <w:tcW w:w="1036"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货币</w:t>
            </w:r>
          </w:p>
        </w:tc>
        <w:tc>
          <w:tcPr>
            <w:tcW w:w="1742"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2022年11月11日</w:t>
            </w:r>
          </w:p>
        </w:tc>
        <w:tc>
          <w:tcPr>
            <w:tcW w:w="988"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5"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3</w:t>
            </w:r>
          </w:p>
        </w:tc>
        <w:tc>
          <w:tcPr>
            <w:tcW w:w="1933"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攀钢集团钒钛资源股份有限公司</w:t>
            </w:r>
          </w:p>
        </w:tc>
        <w:tc>
          <w:tcPr>
            <w:tcW w:w="2071" w:type="dxa"/>
            <w:tcBorders>
              <w:tl2br w:val="nil"/>
              <w:tr2bl w:val="nil"/>
            </w:tcBorders>
            <w:noWrap w:val="0"/>
            <w:tcMar>
              <w:top w:w="15" w:type="dxa"/>
              <w:left w:w="15" w:type="dxa"/>
              <w:right w:w="15" w:type="dxa"/>
            </w:tcMar>
            <w:vAlign w:val="center"/>
          </w:tcPr>
          <w:p>
            <w:pPr>
              <w:keepNext w:val="0"/>
              <w:keepLines w:val="0"/>
              <w:widowControl/>
              <w:suppressLineNumbers w:val="0"/>
              <w:shd w:val="clear" w:color="auto" w:fill="auto"/>
              <w:spacing w:beforeAutospacing="0" w:afterAutospacing="0"/>
              <w:jc w:val="center"/>
              <w:textAlignment w:val="center"/>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50,000</w:t>
            </w:r>
          </w:p>
        </w:tc>
        <w:tc>
          <w:tcPr>
            <w:tcW w:w="1036"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货币</w:t>
            </w:r>
          </w:p>
        </w:tc>
        <w:tc>
          <w:tcPr>
            <w:tcW w:w="1742"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2022年11月11日</w:t>
            </w:r>
          </w:p>
        </w:tc>
        <w:tc>
          <w:tcPr>
            <w:tcW w:w="988"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2638" w:type="dxa"/>
            <w:gridSpan w:val="2"/>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b/>
                <w:bCs/>
                <w:i w:val="0"/>
                <w:color w:val="auto"/>
                <w:kern w:val="0"/>
                <w:sz w:val="21"/>
                <w:szCs w:val="21"/>
                <w:highlight w:val="none"/>
                <w:u w:val="none"/>
                <w:lang w:val="en-US" w:eastAsia="zh-CN" w:bidi="ar"/>
              </w:rPr>
              <w:t>合         计</w:t>
            </w:r>
          </w:p>
        </w:tc>
        <w:tc>
          <w:tcPr>
            <w:tcW w:w="2071" w:type="dxa"/>
            <w:tcBorders>
              <w:tl2br w:val="nil"/>
              <w:tr2bl w:val="nil"/>
            </w:tcBorders>
            <w:noWrap w:val="0"/>
            <w:tcMar>
              <w:top w:w="15" w:type="dxa"/>
              <w:left w:w="15" w:type="dxa"/>
              <w:right w:w="15" w:type="dxa"/>
            </w:tcMar>
            <w:vAlign w:val="center"/>
          </w:tcPr>
          <w:p>
            <w:pPr>
              <w:keepNext w:val="0"/>
              <w:keepLines w:val="0"/>
              <w:widowControl/>
              <w:suppressLineNumbers w:val="0"/>
              <w:shd w:val="clear" w:color="auto" w:fill="auto"/>
              <w:spacing w:beforeAutospacing="0" w:afterAutospacing="0"/>
              <w:jc w:val="center"/>
              <w:textAlignment w:val="center"/>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500,000</w:t>
            </w:r>
          </w:p>
        </w:tc>
        <w:tc>
          <w:tcPr>
            <w:tcW w:w="1036" w:type="dxa"/>
            <w:tcBorders>
              <w:tl2br w:val="nil"/>
              <w:tr2bl w:val="nil"/>
            </w:tcBorders>
            <w:noWrap w:val="0"/>
            <w:tcMar>
              <w:top w:w="15" w:type="dxa"/>
              <w:left w:w="15" w:type="dxa"/>
              <w:right w:w="15" w:type="dxa"/>
            </w:tcMar>
            <w:vAlign w:val="center"/>
          </w:tcPr>
          <w:p>
            <w:pPr>
              <w:suppressLineNumbers w:val="0"/>
              <w:spacing w:beforeAutospacing="0" w:afterAutospacing="0"/>
              <w:jc w:val="left"/>
              <w:rPr>
                <w:rFonts w:hint="eastAsia" w:ascii="仿宋_GB2312" w:hAnsi="宋体" w:eastAsia="仿宋_GB2312" w:cs="仿宋_GB2312"/>
                <w:i w:val="0"/>
                <w:color w:val="auto"/>
                <w:sz w:val="21"/>
                <w:szCs w:val="21"/>
                <w:highlight w:val="none"/>
                <w:u w:val="none"/>
              </w:rPr>
            </w:pPr>
          </w:p>
        </w:tc>
        <w:tc>
          <w:tcPr>
            <w:tcW w:w="1742" w:type="dxa"/>
            <w:tcBorders>
              <w:tl2br w:val="nil"/>
              <w:tr2bl w:val="nil"/>
            </w:tcBorders>
            <w:noWrap w:val="0"/>
            <w:tcMar>
              <w:top w:w="15" w:type="dxa"/>
              <w:left w:w="15" w:type="dxa"/>
              <w:right w:w="15" w:type="dxa"/>
            </w:tcMar>
            <w:vAlign w:val="center"/>
          </w:tcPr>
          <w:p>
            <w:pPr>
              <w:suppressLineNumbers w:val="0"/>
              <w:spacing w:beforeAutospacing="0" w:afterAutospacing="0"/>
              <w:jc w:val="right"/>
              <w:rPr>
                <w:rFonts w:hint="eastAsia" w:ascii="仿宋_GB2312" w:hAnsi="宋体" w:eastAsia="仿宋_GB2312" w:cs="仿宋_GB2312"/>
                <w:i w:val="0"/>
                <w:color w:val="auto"/>
                <w:sz w:val="21"/>
                <w:szCs w:val="21"/>
                <w:highlight w:val="none"/>
                <w:u w:val="none"/>
              </w:rPr>
            </w:pPr>
          </w:p>
        </w:tc>
        <w:tc>
          <w:tcPr>
            <w:tcW w:w="988" w:type="dxa"/>
            <w:tcBorders>
              <w:tl2br w:val="nil"/>
              <w:tr2bl w:val="nil"/>
            </w:tcBorders>
            <w:noWrap w:val="0"/>
            <w:tcMar>
              <w:top w:w="15" w:type="dxa"/>
              <w:left w:w="15" w:type="dxa"/>
              <w:right w:w="15" w:type="dxa"/>
            </w:tcMar>
            <w:vAlign w:val="center"/>
          </w:tcPr>
          <w:p>
            <w:pPr>
              <w:keepNext w:val="0"/>
              <w:keepLines w:val="0"/>
              <w:widowControl/>
              <w:suppressLineNumbers w:val="0"/>
              <w:spacing w:beforeAutospacing="0" w:afterAutospacing="0"/>
              <w:jc w:val="center"/>
              <w:textAlignment w:val="center"/>
              <w:rPr>
                <w:rFonts w:hint="eastAsia" w:ascii="仿宋_GB2312" w:hAnsi="宋体" w:eastAsia="仿宋_GB2312" w:cs="仿宋_GB2312"/>
                <w:i w:val="0"/>
                <w:color w:val="auto"/>
                <w:sz w:val="21"/>
                <w:szCs w:val="21"/>
                <w:highlight w:val="none"/>
                <w:u w:val="none"/>
              </w:rPr>
            </w:pPr>
            <w:r>
              <w:rPr>
                <w:rFonts w:hint="eastAsia" w:ascii="仿宋_GB2312" w:hAnsi="宋体" w:eastAsia="仿宋_GB2312" w:cs="仿宋_GB2312"/>
                <w:i w:val="0"/>
                <w:color w:val="auto"/>
                <w:kern w:val="0"/>
                <w:sz w:val="21"/>
                <w:szCs w:val="21"/>
                <w:highlight w:val="none"/>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bookmarkEnd w:id="18"/>
      <w:r>
        <w:rPr>
          <w:rFonts w:hint="eastAsia" w:ascii="楷体_GB2312" w:hAnsi="楷体_GB2312" w:eastAsia="楷体_GB2312" w:cs="楷体_GB2312"/>
          <w:b/>
          <w:bCs/>
          <w:sz w:val="32"/>
          <w:szCs w:val="32"/>
          <w:highlight w:val="none"/>
        </w:rPr>
        <w:t>三）股东会职责及会议召开情况</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bookmarkStart w:id="22" w:name="bookmark20"/>
      <w:bookmarkEnd w:id="22"/>
      <w:bookmarkStart w:id="23" w:name="bookmark21"/>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股东会职责</w:t>
      </w:r>
      <w:bookmarkEnd w:id="20"/>
      <w:bookmarkEnd w:id="21"/>
      <w:bookmarkEnd w:id="23"/>
    </w:p>
    <w:p>
      <w:pPr>
        <w:pStyle w:val="54"/>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主要负责</w:t>
      </w:r>
      <w:r>
        <w:rPr>
          <w:rFonts w:hint="eastAsia" w:ascii="仿宋_GB2312" w:hAnsi="仿宋_GB2312" w:eastAsia="仿宋_GB2312" w:cs="仿宋_GB2312"/>
          <w:sz w:val="32"/>
          <w:szCs w:val="32"/>
          <w:highlight w:val="none"/>
        </w:rPr>
        <w:t>决定公司的战略和发展规划；决定公司的经营方针和年度投资计划；审议批准董事会的</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报告；审议批准监事会的</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报告；</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公司合并、分立、解散、清算、申请破产、变更公司形式等事项</w:t>
      </w:r>
      <w:r>
        <w:rPr>
          <w:rFonts w:hint="eastAsia" w:ascii="仿宋_GB2312" w:hAnsi="仿宋_GB2312" w:eastAsia="仿宋_GB2312" w:cs="仿宋_GB2312"/>
          <w:sz w:val="32"/>
          <w:szCs w:val="32"/>
          <w:highlight w:val="none"/>
          <w:lang w:val="en-US" w:eastAsia="zh-CN"/>
        </w:rPr>
        <w:t>作出决议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审议批准股东会、董事会和监事会议事规则；</w:t>
      </w:r>
      <w:r>
        <w:rPr>
          <w:rFonts w:hint="eastAsia" w:ascii="仿宋_GB2312" w:hAnsi="仿宋_GB2312" w:eastAsia="仿宋_GB2312" w:cs="仿宋_GB2312"/>
          <w:sz w:val="32"/>
          <w:szCs w:val="32"/>
          <w:highlight w:val="none"/>
        </w:rPr>
        <w:t>批准公司重大财务事项和重大会计政策、会计估计变更方案</w:t>
      </w:r>
      <w:r>
        <w:rPr>
          <w:rFonts w:hint="eastAsia" w:ascii="仿宋_GB2312" w:hAnsi="仿宋_GB2312" w:eastAsia="仿宋_GB2312" w:cs="仿宋_GB2312"/>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bookmarkStart w:id="24" w:name="bookmark22"/>
      <w:bookmarkEnd w:id="24"/>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股东会会议召开情况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年度，公司共召开</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次股东会，会议频次及召开程序均符合法规和监管要求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具体情况如下表：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p>
    <w:tbl>
      <w:tblPr>
        <w:tblStyle w:val="10"/>
        <w:tblW w:w="100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63"/>
        <w:gridCol w:w="1935"/>
        <w:gridCol w:w="1656"/>
        <w:gridCol w:w="1536"/>
        <w:gridCol w:w="1488"/>
        <w:gridCol w:w="1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19"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序号</w:t>
            </w:r>
          </w:p>
        </w:tc>
        <w:tc>
          <w:tcPr>
            <w:tcW w:w="116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会议时间</w:t>
            </w:r>
          </w:p>
        </w:tc>
        <w:tc>
          <w:tcPr>
            <w:tcW w:w="19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会议地点</w:t>
            </w:r>
          </w:p>
        </w:tc>
        <w:tc>
          <w:tcPr>
            <w:tcW w:w="165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参会情况</w:t>
            </w:r>
          </w:p>
        </w:tc>
        <w:tc>
          <w:tcPr>
            <w:tcW w:w="153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类别</w:t>
            </w:r>
          </w:p>
        </w:tc>
        <w:tc>
          <w:tcPr>
            <w:tcW w:w="14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审议议案数量</w:t>
            </w:r>
          </w:p>
        </w:tc>
        <w:tc>
          <w:tcPr>
            <w:tcW w:w="1512" w:type="dxa"/>
            <w:tcBorders>
              <w:left w:val="single" w:color="000000" w:sz="4" w:space="0"/>
              <w:bottom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表决情况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7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2023.2.20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全体股东出席</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 年第一次临时股东会</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51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71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2023.6.30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全体股东出席</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2022年年度股东会</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8</w:t>
            </w:r>
          </w:p>
        </w:tc>
        <w:tc>
          <w:tcPr>
            <w:tcW w:w="151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719" w:type="dxa"/>
            <w:tcBorders>
              <w:top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16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2023.9.18</w:t>
            </w:r>
          </w:p>
        </w:tc>
        <w:tc>
          <w:tcPr>
            <w:tcW w:w="19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65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全体股东出席</w:t>
            </w:r>
          </w:p>
        </w:tc>
        <w:tc>
          <w:tcPr>
            <w:tcW w:w="153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 年第二次临时股东会</w:t>
            </w:r>
          </w:p>
        </w:tc>
        <w:tc>
          <w:tcPr>
            <w:tcW w:w="14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512" w:type="dxa"/>
            <w:tcBorders>
              <w:top w:val="single" w:color="000000" w:sz="4" w:space="0"/>
              <w:lef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25" w:name="bookmark25"/>
      <w:bookmarkStart w:id="26" w:name="bookmark24"/>
      <w:bookmarkStart w:id="27" w:name="bookmark23"/>
      <w:r>
        <w:rPr>
          <w:rFonts w:hint="eastAsia" w:ascii="楷体_GB2312" w:hAnsi="楷体_GB2312" w:eastAsia="楷体_GB2312" w:cs="楷体_GB2312"/>
          <w:b/>
          <w:bCs/>
          <w:sz w:val="32"/>
          <w:szCs w:val="32"/>
          <w:highlight w:val="none"/>
        </w:rPr>
        <w:t>（四）董事会职责</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人员构成</w:t>
      </w:r>
      <w:r>
        <w:rPr>
          <w:rFonts w:hint="eastAsia" w:ascii="楷体_GB2312" w:hAnsi="楷体_GB2312" w:eastAsia="楷体_GB2312" w:cs="楷体_GB2312"/>
          <w:b/>
          <w:bCs/>
          <w:sz w:val="32"/>
          <w:szCs w:val="32"/>
          <w:highlight w:val="none"/>
        </w:rPr>
        <w:t>及会议召开情况</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bookmarkStart w:id="28" w:name="bookmark26"/>
      <w:r>
        <w:rPr>
          <w:rFonts w:hint="eastAsia" w:ascii="仿宋_GB2312" w:hAnsi="仿宋_GB2312" w:eastAsia="仿宋_GB2312" w:cs="仿宋_GB2312"/>
          <w:b/>
          <w:bCs/>
          <w:sz w:val="32"/>
          <w:szCs w:val="32"/>
          <w:highlight w:val="none"/>
          <w:lang w:val="en-US" w:eastAsia="en-US"/>
        </w:rPr>
        <w:t>1.</w:t>
      </w:r>
      <w:r>
        <w:rPr>
          <w:rFonts w:hint="eastAsia" w:ascii="仿宋_GB2312" w:hAnsi="仿宋_GB2312" w:eastAsia="仿宋_GB2312" w:cs="仿宋_GB2312"/>
          <w:b/>
          <w:bCs/>
          <w:sz w:val="32"/>
          <w:szCs w:val="32"/>
          <w:highlight w:val="none"/>
        </w:rPr>
        <w:t>董事会职责</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rPr>
      </w:pPr>
      <w:bookmarkStart w:id="29" w:name="bookmark54"/>
      <w:bookmarkEnd w:id="29"/>
      <w:r>
        <w:rPr>
          <w:rFonts w:hint="eastAsia" w:ascii="仿宋_GB2312" w:hAnsi="仿宋_GB2312" w:eastAsia="仿宋_GB2312" w:cs="仿宋_GB2312"/>
          <w:sz w:val="32"/>
          <w:szCs w:val="32"/>
          <w:highlight w:val="none"/>
          <w:lang w:val="en-US" w:eastAsia="zh-CN"/>
        </w:rPr>
        <w:t>主要负责</w:t>
      </w:r>
      <w:r>
        <w:rPr>
          <w:rFonts w:hint="eastAsia" w:ascii="仿宋_GB2312" w:hAnsi="仿宋_GB2312" w:eastAsia="仿宋_GB2312" w:cs="仿宋_GB2312"/>
          <w:sz w:val="32"/>
          <w:szCs w:val="32"/>
          <w:highlight w:val="none"/>
        </w:rPr>
        <w:t>制定贯彻党中央、国务院决策部署和落实</w:t>
      </w:r>
      <w:r>
        <w:rPr>
          <w:rFonts w:hint="eastAsia" w:ascii="仿宋_GB2312" w:hAnsi="仿宋_GB2312" w:eastAsia="仿宋_GB2312" w:cs="仿宋_GB2312"/>
          <w:sz w:val="32"/>
          <w:szCs w:val="32"/>
          <w:highlight w:val="none"/>
          <w:lang w:val="en-US" w:eastAsia="zh-CN"/>
        </w:rPr>
        <w:t>鞍钢集团</w:t>
      </w:r>
      <w:r>
        <w:rPr>
          <w:rFonts w:hint="eastAsia" w:ascii="仿宋_GB2312" w:hAnsi="仿宋_GB2312" w:eastAsia="仿宋_GB2312" w:cs="仿宋_GB2312"/>
          <w:sz w:val="32"/>
          <w:szCs w:val="32"/>
          <w:highlight w:val="none"/>
        </w:rPr>
        <w:t>发展战略重大举措的方案；制订公司战略和发展规划</w:t>
      </w:r>
      <w:r>
        <w:rPr>
          <w:rFonts w:hint="eastAsia" w:ascii="仿宋_GB2312" w:hAnsi="仿宋_GB2312" w:eastAsia="仿宋_GB2312" w:cs="仿宋_GB2312"/>
          <w:sz w:val="32"/>
          <w:szCs w:val="32"/>
          <w:highlight w:val="none"/>
          <w:lang w:val="en-US" w:eastAsia="zh-CN"/>
        </w:rPr>
        <w:t>并监督实施</w:t>
      </w:r>
      <w:r>
        <w:rPr>
          <w:rFonts w:hint="eastAsia" w:ascii="仿宋_GB2312" w:hAnsi="仿宋_GB2312" w:eastAsia="仿宋_GB2312" w:cs="仿宋_GB2312"/>
          <w:sz w:val="32"/>
          <w:szCs w:val="32"/>
          <w:highlight w:val="none"/>
        </w:rPr>
        <w:t>；制订公司年度投资计划，决定经营计划和投资方案；制订公司的年度财务预算和决算方案；制订公司的利润分配和弥补亏损方案；制订公司增加或者减少注册资本的方案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发行公司债券方案；制订公司</w:t>
      </w:r>
      <w:r>
        <w:rPr>
          <w:rFonts w:hint="eastAsia" w:ascii="仿宋_GB2312" w:hAnsi="仿宋_GB2312" w:eastAsia="仿宋_GB2312" w:cs="仿宋_GB2312"/>
          <w:sz w:val="32"/>
          <w:szCs w:val="32"/>
          <w:highlight w:val="none"/>
          <w:lang w:val="en-US" w:eastAsia="zh-CN"/>
        </w:rPr>
        <w:t>重大收购方案或</w:t>
      </w:r>
      <w:r>
        <w:rPr>
          <w:rFonts w:hint="eastAsia" w:ascii="仿宋_GB2312" w:hAnsi="仿宋_GB2312" w:eastAsia="仿宋_GB2312" w:cs="仿宋_GB2312"/>
          <w:sz w:val="32"/>
          <w:szCs w:val="32"/>
          <w:highlight w:val="none"/>
        </w:rPr>
        <w:t>合并、分立、解散或变更公司形式的方案；制订公司章程草案和公司章程的修改方案；</w:t>
      </w:r>
      <w:r>
        <w:rPr>
          <w:rFonts w:hint="eastAsia" w:ascii="仿宋_GB2312" w:hAnsi="仿宋_GB2312" w:eastAsia="仿宋_GB2312" w:cs="仿宋_GB2312"/>
          <w:sz w:val="32"/>
          <w:szCs w:val="32"/>
          <w:highlight w:val="none"/>
          <w:lang w:val="en-US" w:eastAsia="zh-CN"/>
        </w:rPr>
        <w:t>按照监管规定</w:t>
      </w:r>
      <w:r>
        <w:rPr>
          <w:rFonts w:hint="eastAsia" w:ascii="仿宋_GB2312" w:hAnsi="仿宋_GB2312" w:eastAsia="仿宋_GB2312" w:cs="仿宋_GB2312"/>
          <w:sz w:val="32"/>
          <w:szCs w:val="32"/>
          <w:highlight w:val="none"/>
        </w:rPr>
        <w:t>，聘任或解聘公司总经理，根据总经理的提名聘任或者解聘公司副总经理、总法律顾问等公司高级管理人员，根据董事长提名聘任或解聘董事会秘书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按照有关规定，决定高级管理人员的</w:t>
      </w:r>
      <w:r>
        <w:rPr>
          <w:rFonts w:hint="eastAsia" w:ascii="仿宋_GB2312" w:hAnsi="仿宋_GB2312" w:eastAsia="仿宋_GB2312" w:cs="仿宋_GB2312"/>
          <w:sz w:val="32"/>
          <w:szCs w:val="32"/>
          <w:highlight w:val="none"/>
          <w:lang w:val="en-US" w:eastAsia="zh-CN"/>
        </w:rPr>
        <w:t>报酬、奖惩事项，监督高级管理层履行职责等。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董事会成员构成及其简历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成员构成及简历截至2022年末，下同</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sz w:val="32"/>
          <w:szCs w:val="32"/>
          <w:highlight w:val="none"/>
          <w:lang w:eastAsia="zh-CN"/>
        </w:rPr>
      </w:pPr>
      <w:r>
        <w:rPr>
          <w:rFonts w:hint="eastAsia" w:ascii="仿宋_GB2312" w:hAnsi="Tahoma" w:eastAsia="仿宋_GB2312" w:cs="Tahoma"/>
          <w:b/>
          <w:bCs w:val="0"/>
          <w:snapToGrid w:val="0"/>
          <w:kern w:val="0"/>
          <w:sz w:val="32"/>
          <w:szCs w:val="32"/>
          <w:highlight w:val="none"/>
          <w:lang w:val="en-US" w:eastAsia="zh-CN"/>
        </w:rPr>
        <w:t>董事长：</w:t>
      </w:r>
      <w:r>
        <w:rPr>
          <w:rFonts w:hint="eastAsia" w:ascii="仿宋_GB2312" w:hAnsi="Tahoma" w:eastAsia="仿宋_GB2312" w:cs="Tahoma"/>
          <w:b w:val="0"/>
          <w:bCs/>
          <w:snapToGrid w:val="0"/>
          <w:kern w:val="0"/>
          <w:sz w:val="32"/>
          <w:szCs w:val="32"/>
          <w:highlight w:val="none"/>
        </w:rPr>
        <w:t>谢峰，男，1971年5月出生，湖北荆门人，中共党员，高级会计师、高级经济师、注册会计师。</w:t>
      </w:r>
      <w:r>
        <w:rPr>
          <w:rFonts w:hint="eastAsia" w:ascii="仿宋_GB2312" w:hAnsi="Tahoma" w:eastAsia="仿宋_GB2312" w:cs="Tahoma"/>
          <w:b w:val="0"/>
          <w:bCs/>
          <w:snapToGrid w:val="0"/>
          <w:kern w:val="0"/>
          <w:sz w:val="32"/>
          <w:szCs w:val="32"/>
          <w:highlight w:val="none"/>
          <w:lang w:val="en-US" w:eastAsia="zh-CN"/>
        </w:rPr>
        <w:t>曾在</w:t>
      </w:r>
      <w:r>
        <w:rPr>
          <w:rFonts w:ascii="仿宋_GB2312" w:hAnsi="Tahoma" w:eastAsia="仿宋_GB2312" w:cs="Tahoma"/>
          <w:b w:val="0"/>
          <w:bCs/>
          <w:snapToGrid w:val="0"/>
          <w:kern w:val="0"/>
          <w:sz w:val="32"/>
          <w:szCs w:val="32"/>
          <w:highlight w:val="none"/>
        </w:rPr>
        <w:t>中国工商银行</w:t>
      </w:r>
      <w:r>
        <w:rPr>
          <w:rFonts w:hint="eastAsia" w:ascii="仿宋_GB2312" w:hAnsi="Tahoma" w:eastAsia="仿宋_GB2312" w:cs="Tahoma"/>
          <w:b w:val="0"/>
          <w:bCs/>
          <w:snapToGrid w:val="0"/>
          <w:kern w:val="0"/>
          <w:sz w:val="32"/>
          <w:szCs w:val="32"/>
          <w:highlight w:val="none"/>
          <w:lang w:eastAsia="zh-CN"/>
        </w:rPr>
        <w:t>、</w:t>
      </w:r>
      <w:r>
        <w:rPr>
          <w:rFonts w:ascii="仿宋_GB2312" w:hAnsi="Tahoma" w:eastAsia="仿宋_GB2312" w:cs="Tahoma"/>
          <w:b w:val="0"/>
          <w:bCs/>
          <w:snapToGrid w:val="0"/>
          <w:kern w:val="0"/>
          <w:sz w:val="32"/>
          <w:szCs w:val="32"/>
          <w:highlight w:val="none"/>
        </w:rPr>
        <w:t>三峡财务有限责任公司</w:t>
      </w:r>
      <w:r>
        <w:rPr>
          <w:rFonts w:hint="eastAsia" w:ascii="仿宋_GB2312" w:hAnsi="Tahoma" w:eastAsia="仿宋_GB2312" w:cs="Tahoma"/>
          <w:b w:val="0"/>
          <w:bCs/>
          <w:snapToGrid w:val="0"/>
          <w:kern w:val="0"/>
          <w:sz w:val="32"/>
          <w:szCs w:val="32"/>
          <w:highlight w:val="none"/>
          <w:lang w:eastAsia="zh-CN"/>
        </w:rPr>
        <w:t>、</w:t>
      </w:r>
      <w:r>
        <w:rPr>
          <w:rFonts w:hint="eastAsia" w:ascii="仿宋_GB2312" w:hAnsi="Tahoma" w:eastAsia="仿宋_GB2312" w:cs="Tahoma"/>
          <w:b w:val="0"/>
          <w:bCs/>
          <w:snapToGrid w:val="0"/>
          <w:kern w:val="0"/>
          <w:sz w:val="32"/>
          <w:szCs w:val="32"/>
          <w:highlight w:val="none"/>
        </w:rPr>
        <w:t>中国长江电力股份有限公司</w:t>
      </w:r>
      <w:r>
        <w:rPr>
          <w:rFonts w:hint="eastAsia" w:ascii="仿宋_GB2312" w:hAnsi="Tahoma" w:eastAsia="仿宋_GB2312" w:cs="Tahoma"/>
          <w:b w:val="0"/>
          <w:bCs/>
          <w:snapToGrid w:val="0"/>
          <w:kern w:val="0"/>
          <w:sz w:val="32"/>
          <w:szCs w:val="32"/>
          <w:highlight w:val="none"/>
          <w:lang w:val="en-US" w:eastAsia="zh-CN"/>
        </w:rPr>
        <w:t>工作</w:t>
      </w:r>
      <w:r>
        <w:rPr>
          <w:rFonts w:hint="eastAsia" w:ascii="仿宋_GB2312" w:hAnsi="Tahoma" w:eastAsia="仿宋_GB2312" w:cs="Tahoma"/>
          <w:b w:val="0"/>
          <w:bCs/>
          <w:snapToGrid w:val="0"/>
          <w:kern w:val="0"/>
          <w:sz w:val="32"/>
          <w:szCs w:val="32"/>
          <w:highlight w:val="none"/>
        </w:rPr>
        <w:t>，</w:t>
      </w:r>
      <w:r>
        <w:rPr>
          <w:rFonts w:hint="eastAsia" w:ascii="仿宋_GB2312" w:hAnsi="Tahoma" w:eastAsia="仿宋_GB2312" w:cs="Tahoma"/>
          <w:b w:val="0"/>
          <w:bCs/>
          <w:snapToGrid w:val="0"/>
          <w:kern w:val="0"/>
          <w:sz w:val="32"/>
          <w:szCs w:val="32"/>
          <w:highlight w:val="none"/>
          <w:lang w:val="en-US" w:eastAsia="zh-CN"/>
        </w:rPr>
        <w:t>现</w:t>
      </w:r>
      <w:r>
        <w:rPr>
          <w:rFonts w:hint="eastAsia" w:ascii="仿宋_GB2312" w:hAnsi="Tahoma" w:eastAsia="仿宋_GB2312" w:cs="Tahoma"/>
          <w:b w:val="0"/>
          <w:bCs/>
          <w:snapToGrid w:val="0"/>
          <w:kern w:val="0"/>
          <w:sz w:val="32"/>
          <w:szCs w:val="32"/>
          <w:highlight w:val="none"/>
        </w:rPr>
        <w:t>任鞍钢集团有限公司党委常委、总会计师。</w:t>
      </w:r>
      <w:r>
        <w:rPr>
          <w:rFonts w:hint="eastAsia" w:ascii="仿宋_GB2312" w:hAnsi="Tahoma" w:eastAsia="仿宋_GB2312" w:cs="Tahoma"/>
          <w:b w:val="0"/>
          <w:bCs/>
          <w:snapToGrid w:val="0"/>
          <w:kern w:val="0"/>
          <w:sz w:val="32"/>
          <w:szCs w:val="32"/>
          <w:highlight w:val="none"/>
          <w:lang w:val="en-US" w:eastAsia="zh-CN"/>
        </w:rPr>
        <w:t>2021年5月12日，中国银行保险监督管理委员会辽宁监管局正式批复，核准谢峰鞍钢财务公司董事长任职资格。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董事：</w:t>
      </w:r>
      <w:r>
        <w:rPr>
          <w:rFonts w:hint="eastAsia" w:ascii="仿宋_GB2312" w:hAnsi="Tahoma" w:eastAsia="仿宋_GB2312" w:cs="Tahoma"/>
          <w:b w:val="0"/>
          <w:bCs/>
          <w:snapToGrid w:val="0"/>
          <w:kern w:val="0"/>
          <w:sz w:val="32"/>
          <w:szCs w:val="32"/>
          <w:highlight w:val="none"/>
          <w:lang w:val="en-US" w:eastAsia="zh-CN"/>
        </w:rPr>
        <w:t>贾文军，</w:t>
      </w:r>
      <w:r>
        <w:rPr>
          <w:rFonts w:hint="eastAsia" w:ascii="仿宋_GB2312" w:hAnsi="仿宋_GB2312" w:eastAsia="仿宋_GB2312" w:cs="仿宋_GB2312"/>
          <w:b w:val="0"/>
          <w:bCs/>
          <w:sz w:val="32"/>
          <w:szCs w:val="32"/>
          <w:highlight w:val="none"/>
          <w:lang w:val="en-US" w:eastAsia="zh-CN"/>
        </w:rPr>
        <w:t>男，1974年3月出生，黑龙江鸡东人，中共党员，会计师。曾</w:t>
      </w:r>
      <w:r>
        <w:rPr>
          <w:rFonts w:hint="eastAsia" w:ascii="仿宋_GB2312" w:hAnsi="Tahoma" w:eastAsia="仿宋_GB2312" w:cs="Tahoma"/>
          <w:b w:val="0"/>
          <w:bCs/>
          <w:snapToGrid w:val="0"/>
          <w:kern w:val="0"/>
          <w:sz w:val="32"/>
          <w:szCs w:val="32"/>
          <w:highlight w:val="none"/>
          <w:lang w:val="en-US" w:eastAsia="zh-CN"/>
        </w:rPr>
        <w:t>在</w:t>
      </w:r>
      <w:r>
        <w:rPr>
          <w:rFonts w:hint="eastAsia" w:ascii="仿宋_GB2312" w:hAnsi="Tahoma" w:eastAsia="仿宋_GB2312" w:cs="Tahoma"/>
          <w:b w:val="0"/>
          <w:bCs/>
          <w:snapToGrid w:val="0"/>
          <w:kern w:val="0"/>
          <w:sz w:val="32"/>
          <w:szCs w:val="32"/>
          <w:highlight w:val="none"/>
          <w:lang w:val="zh-CN"/>
        </w:rPr>
        <w:t>大连东正会计师事务</w:t>
      </w:r>
      <w:r>
        <w:rPr>
          <w:rFonts w:hint="eastAsia" w:ascii="仿宋_GB2312" w:hAnsi="Tahoma" w:eastAsia="仿宋_GB2312" w:cs="Tahoma"/>
          <w:b w:val="0"/>
          <w:bCs/>
          <w:snapToGrid w:val="0"/>
          <w:kern w:val="0"/>
          <w:sz w:val="32"/>
          <w:szCs w:val="32"/>
          <w:highlight w:val="none"/>
          <w:lang w:val="en-US" w:eastAsia="zh-CN"/>
        </w:rPr>
        <w:t>所</w:t>
      </w:r>
      <w:r>
        <w:rPr>
          <w:rFonts w:hint="eastAsia" w:ascii="仿宋_GB2312" w:hAnsi="Tahoma" w:eastAsia="仿宋_GB2312" w:cs="Tahoma"/>
          <w:b w:val="0"/>
          <w:bCs/>
          <w:snapToGrid w:val="0"/>
          <w:kern w:val="0"/>
          <w:sz w:val="32"/>
          <w:szCs w:val="32"/>
          <w:highlight w:val="none"/>
          <w:lang w:val="zh-CN"/>
        </w:rPr>
        <w:t>、中国证监会大连证监局、大连港集团有限公司、辽宁港口集团有限公司</w:t>
      </w:r>
      <w:r>
        <w:rPr>
          <w:rFonts w:hint="eastAsia" w:ascii="仿宋_GB2312" w:hAnsi="Tahoma" w:eastAsia="仿宋_GB2312" w:cs="Tahoma"/>
          <w:b w:val="0"/>
          <w:bCs/>
          <w:snapToGrid w:val="0"/>
          <w:kern w:val="0"/>
          <w:sz w:val="32"/>
          <w:szCs w:val="32"/>
          <w:highlight w:val="none"/>
          <w:lang w:val="en-US" w:eastAsia="zh-CN"/>
        </w:rPr>
        <w:t>工作，现任</w:t>
      </w:r>
      <w:r>
        <w:rPr>
          <w:rFonts w:hint="eastAsia" w:ascii="仿宋_GB2312" w:hAnsi="Tahoma" w:eastAsia="仿宋_GB2312" w:cs="Tahoma"/>
          <w:b w:val="0"/>
          <w:bCs/>
          <w:snapToGrid w:val="0"/>
          <w:kern w:val="0"/>
          <w:sz w:val="32"/>
          <w:szCs w:val="32"/>
          <w:highlight w:val="none"/>
          <w:lang w:val="zh-CN"/>
        </w:rPr>
        <w:t>鞍钢集团有限公司资本运营部</w:t>
      </w:r>
      <w:r>
        <w:rPr>
          <w:rFonts w:hint="eastAsia" w:ascii="仿宋_GB2312" w:hAnsi="Tahoma" w:eastAsia="仿宋_GB2312" w:cs="Tahoma"/>
          <w:b w:val="0"/>
          <w:bCs/>
          <w:snapToGrid w:val="0"/>
          <w:kern w:val="0"/>
          <w:sz w:val="32"/>
          <w:szCs w:val="32"/>
          <w:highlight w:val="none"/>
          <w:lang w:val="en-US" w:eastAsia="zh-CN"/>
        </w:rPr>
        <w:t>总经理</w:t>
      </w:r>
      <w:r>
        <w:rPr>
          <w:rFonts w:hint="eastAsia" w:ascii="仿宋_GB2312" w:hAnsi="仿宋_GB2312" w:eastAsia="仿宋_GB2312" w:cs="仿宋_GB2312"/>
          <w:b w:val="0"/>
          <w:bCs/>
          <w:sz w:val="32"/>
          <w:szCs w:val="32"/>
          <w:highlight w:val="none"/>
          <w:lang w:val="en-US" w:eastAsia="zh-CN"/>
        </w:rPr>
        <w:t>。</w:t>
      </w:r>
      <w:r>
        <w:rPr>
          <w:rFonts w:hint="eastAsia" w:ascii="仿宋_GB2312" w:hAnsi="Tahoma" w:eastAsia="仿宋_GB2312" w:cs="Tahoma"/>
          <w:b w:val="0"/>
          <w:bCs/>
          <w:snapToGrid w:val="0"/>
          <w:kern w:val="0"/>
          <w:sz w:val="32"/>
          <w:szCs w:val="32"/>
          <w:highlight w:val="none"/>
          <w:lang w:val="en-US" w:eastAsia="zh-CN"/>
        </w:rPr>
        <w:t>2023年7月10日，中国银行保险监督管理委员会辽宁监管局正式批复，核准贾文军鞍钢财务公司董事任职资格。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val="0"/>
          <w:sz w:val="32"/>
          <w:szCs w:val="32"/>
          <w:highlight w:val="none"/>
          <w:lang w:val="en-US" w:eastAsia="zh-CN"/>
        </w:rPr>
        <w:t>董事：</w:t>
      </w:r>
      <w:r>
        <w:rPr>
          <w:rFonts w:hint="eastAsia" w:ascii="仿宋_GB2312" w:hAnsi="仿宋_GB2312" w:eastAsia="仿宋_GB2312" w:cs="仿宋_GB2312"/>
          <w:b w:val="0"/>
          <w:bCs/>
          <w:sz w:val="32"/>
          <w:szCs w:val="32"/>
          <w:highlight w:val="none"/>
          <w:lang w:val="en-US" w:eastAsia="zh-CN"/>
        </w:rPr>
        <w:t>董德新</w:t>
      </w:r>
      <w:r>
        <w:rPr>
          <w:rFonts w:hint="eastAsia" w:ascii="仿宋_GB2312" w:hAnsi="仿宋_GB2312" w:eastAsia="仿宋_GB2312" w:cs="仿宋_GB2312"/>
          <w:b w:val="0"/>
          <w:bCs/>
          <w:snapToGrid w:val="0"/>
          <w:kern w:val="0"/>
          <w:sz w:val="32"/>
          <w:szCs w:val="32"/>
          <w:highlight w:val="none"/>
        </w:rPr>
        <w:t>，</w:t>
      </w:r>
      <w:r>
        <w:rPr>
          <w:rFonts w:hint="eastAsia" w:ascii="仿宋_GB2312" w:hAnsi="仿宋_GB2312" w:eastAsia="仿宋_GB2312" w:cs="仿宋_GB2312"/>
          <w:bCs/>
          <w:snapToGrid w:val="0"/>
          <w:kern w:val="0"/>
          <w:sz w:val="32"/>
          <w:szCs w:val="32"/>
          <w:highlight w:val="none"/>
        </w:rPr>
        <w:t>男，19</w:t>
      </w:r>
      <w:r>
        <w:rPr>
          <w:rFonts w:hint="eastAsia" w:ascii="仿宋_GB2312" w:hAnsi="仿宋_GB2312" w:eastAsia="仿宋_GB2312" w:cs="仿宋_GB2312"/>
          <w:bCs/>
          <w:snapToGrid w:val="0"/>
          <w:kern w:val="0"/>
          <w:sz w:val="32"/>
          <w:szCs w:val="32"/>
          <w:highlight w:val="none"/>
          <w:lang w:val="en-US" w:eastAsia="zh-CN"/>
        </w:rPr>
        <w:t>76</w:t>
      </w:r>
      <w:r>
        <w:rPr>
          <w:rFonts w:hint="eastAsia" w:ascii="仿宋_GB2312" w:hAnsi="仿宋_GB2312" w:eastAsia="仿宋_GB2312" w:cs="仿宋_GB2312"/>
          <w:bCs/>
          <w:snapToGrid w:val="0"/>
          <w:kern w:val="0"/>
          <w:sz w:val="32"/>
          <w:szCs w:val="32"/>
          <w:highlight w:val="none"/>
        </w:rPr>
        <w:t>年1月出生，辽宁</w:t>
      </w:r>
      <w:r>
        <w:rPr>
          <w:rFonts w:hint="eastAsia" w:ascii="仿宋_GB2312" w:hAnsi="仿宋_GB2312" w:eastAsia="仿宋_GB2312" w:cs="仿宋_GB2312"/>
          <w:bCs/>
          <w:snapToGrid w:val="0"/>
          <w:kern w:val="0"/>
          <w:sz w:val="32"/>
          <w:szCs w:val="32"/>
          <w:highlight w:val="none"/>
          <w:lang w:val="en-US" w:eastAsia="zh-CN"/>
        </w:rPr>
        <w:t>昌图</w:t>
      </w:r>
      <w:r>
        <w:rPr>
          <w:rFonts w:hint="eastAsia" w:ascii="仿宋_GB2312" w:hAnsi="仿宋_GB2312" w:eastAsia="仿宋_GB2312" w:cs="仿宋_GB2312"/>
          <w:bCs/>
          <w:snapToGrid w:val="0"/>
          <w:kern w:val="0"/>
          <w:sz w:val="32"/>
          <w:szCs w:val="32"/>
          <w:highlight w:val="none"/>
        </w:rPr>
        <w:t>人，中共党员，高级</w:t>
      </w:r>
      <w:r>
        <w:rPr>
          <w:rFonts w:hint="eastAsia" w:ascii="仿宋_GB2312" w:hAnsi="仿宋_GB2312" w:eastAsia="仿宋_GB2312" w:cs="仿宋_GB2312"/>
          <w:bCs/>
          <w:snapToGrid w:val="0"/>
          <w:kern w:val="0"/>
          <w:sz w:val="32"/>
          <w:szCs w:val="32"/>
          <w:highlight w:val="none"/>
          <w:lang w:val="en-US" w:eastAsia="zh-CN"/>
        </w:rPr>
        <w:t>审计</w:t>
      </w:r>
      <w:r>
        <w:rPr>
          <w:rFonts w:hint="eastAsia" w:ascii="仿宋_GB2312" w:hAnsi="仿宋_GB2312" w:eastAsia="仿宋_GB2312" w:cs="仿宋_GB2312"/>
          <w:bCs/>
          <w:snapToGrid w:val="0"/>
          <w:kern w:val="0"/>
          <w:sz w:val="32"/>
          <w:szCs w:val="32"/>
          <w:highlight w:val="none"/>
        </w:rPr>
        <w:t>师。</w:t>
      </w:r>
      <w:r>
        <w:rPr>
          <w:rFonts w:hint="eastAsia" w:ascii="仿宋_GB2312" w:hAnsi="仿宋_GB2312" w:eastAsia="仿宋_GB2312" w:cs="仿宋_GB2312"/>
          <w:bCs/>
          <w:snapToGrid w:val="0"/>
          <w:kern w:val="0"/>
          <w:sz w:val="32"/>
          <w:szCs w:val="32"/>
          <w:highlight w:val="none"/>
          <w:lang w:val="en-US" w:eastAsia="zh-CN"/>
        </w:rPr>
        <w:t>曾在</w:t>
      </w:r>
      <w:r>
        <w:rPr>
          <w:rFonts w:hint="eastAsia" w:ascii="仿宋_GB2312" w:hAnsi="仿宋_GB2312" w:eastAsia="仿宋_GB2312" w:cs="仿宋_GB2312"/>
          <w:bCs/>
          <w:snapToGrid w:val="0"/>
          <w:kern w:val="0"/>
          <w:sz w:val="32"/>
          <w:szCs w:val="32"/>
          <w:highlight w:val="none"/>
          <w:lang w:val="zh-CN"/>
        </w:rPr>
        <w:t>审计署驻沈阳特派办财政审计二处、社会保障审计处、法规处</w:t>
      </w:r>
      <w:r>
        <w:rPr>
          <w:rFonts w:hint="eastAsia" w:ascii="仿宋_GB2312" w:hAnsi="仿宋_GB2312" w:eastAsia="仿宋_GB2312" w:cs="仿宋_GB2312"/>
          <w:bCs/>
          <w:snapToGrid w:val="0"/>
          <w:kern w:val="0"/>
          <w:sz w:val="32"/>
          <w:szCs w:val="32"/>
          <w:highlight w:val="none"/>
          <w:lang w:val="en-US" w:eastAsia="zh-CN"/>
        </w:rPr>
        <w:t>工作，现任</w:t>
      </w:r>
      <w:r>
        <w:rPr>
          <w:rFonts w:hint="eastAsia" w:ascii="仿宋_GB2312" w:hAnsi="仿宋_GB2312" w:eastAsia="仿宋_GB2312" w:cs="仿宋_GB2312"/>
          <w:bCs/>
          <w:snapToGrid w:val="0"/>
          <w:kern w:val="0"/>
          <w:sz w:val="32"/>
          <w:szCs w:val="32"/>
          <w:highlight w:val="none"/>
          <w:lang w:val="zh-CN"/>
        </w:rPr>
        <w:t>鞍钢集团有限公司审计部总经理</w:t>
      </w:r>
      <w:r>
        <w:rPr>
          <w:rFonts w:hint="eastAsia" w:ascii="仿宋_GB2312" w:hAnsi="仿宋_GB2312" w:eastAsia="仿宋_GB2312" w:cs="仿宋_GB2312"/>
          <w:bCs/>
          <w:snapToGrid w:val="0"/>
          <w:kern w:val="0"/>
          <w:sz w:val="32"/>
          <w:szCs w:val="32"/>
          <w:highlight w:val="none"/>
          <w:lang w:eastAsia="zh-CN"/>
        </w:rPr>
        <w:t>。</w:t>
      </w:r>
      <w:r>
        <w:rPr>
          <w:rFonts w:hint="eastAsia" w:ascii="仿宋_GB2312" w:hAnsi="仿宋_GB2312" w:eastAsia="仿宋_GB2312" w:cs="仿宋_GB2312"/>
          <w:bCs/>
          <w:snapToGrid w:val="0"/>
          <w:kern w:val="0"/>
          <w:sz w:val="32"/>
          <w:szCs w:val="32"/>
          <w:highlight w:val="none"/>
          <w:lang w:val="en-US" w:eastAsia="zh-CN"/>
        </w:rPr>
        <w:t>2</w:t>
      </w:r>
      <w:r>
        <w:rPr>
          <w:rFonts w:hint="eastAsia" w:ascii="仿宋_GB2312" w:hAnsi="Tahoma" w:eastAsia="仿宋_GB2312" w:cs="Tahoma"/>
          <w:b w:val="0"/>
          <w:bCs/>
          <w:snapToGrid w:val="0"/>
          <w:kern w:val="0"/>
          <w:sz w:val="32"/>
          <w:szCs w:val="32"/>
          <w:highlight w:val="none"/>
          <w:lang w:val="en-US" w:eastAsia="zh-CN"/>
        </w:rPr>
        <w:t>023年7月11日，中国银行保险监督管理委员会辽宁监管局正式批复，核准董德新鞍钢财务公司董事任职资格。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董事：</w:t>
      </w:r>
      <w:r>
        <w:rPr>
          <w:rFonts w:hint="eastAsia" w:ascii="仿宋_GB2312" w:hAnsi="仿宋_GB2312" w:eastAsia="仿宋_GB2312" w:cs="仿宋_GB2312"/>
          <w:sz w:val="32"/>
          <w:szCs w:val="32"/>
          <w:highlight w:val="none"/>
          <w:lang w:val="en-US" w:eastAsia="zh-CN"/>
        </w:rPr>
        <w:t>王保军，男，1967年2月出生，陕西汉中人，中共党员，高级会计师。曾在攀钢氧气厂财务科、攀钢（集团）公司监察审计处、攀钢（集团）公司审计部、攀枝花新钢钒股份有限公司、攀钢集团钢铁钒钛股份有限公司、鞍钢集团有限公司审计部工作。现任鞍钢股份有限公司总会计师。</w:t>
      </w:r>
      <w:r>
        <w:rPr>
          <w:rFonts w:hint="eastAsia" w:ascii="仿宋_GB2312" w:hAnsi="Tahoma" w:eastAsia="仿宋_GB2312" w:cs="Tahoma"/>
          <w:b w:val="0"/>
          <w:bCs/>
          <w:snapToGrid w:val="0"/>
          <w:kern w:val="0"/>
          <w:sz w:val="32"/>
          <w:szCs w:val="32"/>
          <w:highlight w:val="none"/>
          <w:lang w:val="en-US" w:eastAsia="zh-CN"/>
        </w:rPr>
        <w:t>2019年1月25日，中国银行保险监督管理委员会辽宁监管局正式批复，核准王保军鞍钢财务公司董事任职资格。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val="0"/>
          <w:snapToGrid w:val="0"/>
          <w:kern w:val="0"/>
          <w:sz w:val="32"/>
          <w:szCs w:val="32"/>
          <w:highlight w:val="none"/>
          <w:lang w:val="en-US" w:eastAsia="zh-CN"/>
        </w:rPr>
        <w:t>董事：</w:t>
      </w:r>
      <w:r>
        <w:rPr>
          <w:rFonts w:hint="eastAsia" w:ascii="仿宋_GB2312" w:hAnsi="仿宋" w:eastAsia="仿宋_GB2312" w:cs="仿宋_GB2312"/>
          <w:color w:val="000000"/>
          <w:sz w:val="32"/>
          <w:szCs w:val="32"/>
          <w:highlight w:val="none"/>
        </w:rPr>
        <w:t>张景凡，男，1965年1月出生，辽宁辽阳</w:t>
      </w:r>
      <w:r>
        <w:rPr>
          <w:rFonts w:hint="eastAsia" w:ascii="仿宋_GB2312" w:hAnsi="仿宋" w:eastAsia="仿宋_GB2312" w:cs="仿宋_GB2312"/>
          <w:sz w:val="32"/>
          <w:szCs w:val="32"/>
          <w:highlight w:val="none"/>
        </w:rPr>
        <w:t>人</w:t>
      </w:r>
      <w:r>
        <w:rPr>
          <w:rFonts w:hint="eastAsia" w:ascii="仿宋_GB2312" w:hAnsi="仿宋" w:eastAsia="仿宋_GB2312" w:cs="仿宋_GB2312"/>
          <w:color w:val="000000"/>
          <w:sz w:val="32"/>
          <w:szCs w:val="32"/>
          <w:highlight w:val="none"/>
        </w:rPr>
        <w:t>，中共党员，</w:t>
      </w:r>
      <w:r>
        <w:rPr>
          <w:rFonts w:hint="eastAsia" w:ascii="仿宋_GB2312" w:hAnsi="仿宋" w:eastAsia="仿宋_GB2312" w:cs="仿宋_GB2312"/>
          <w:color w:val="000000"/>
          <w:sz w:val="32"/>
          <w:szCs w:val="32"/>
          <w:highlight w:val="none"/>
          <w:lang w:val="en-US" w:eastAsia="zh-CN"/>
        </w:rPr>
        <w:t>教授级高级会计师。曾在鞍钢机械制造灵山锻造厂、</w:t>
      </w:r>
      <w:r>
        <w:rPr>
          <w:rFonts w:hint="eastAsia" w:ascii="仿宋_GB2312" w:hAnsi="仿宋" w:eastAsia="仿宋_GB2312" w:cs="仿宋_GB2312"/>
          <w:color w:val="000000"/>
          <w:sz w:val="32"/>
          <w:szCs w:val="32"/>
          <w:highlight w:val="none"/>
        </w:rPr>
        <w:t>鞍钢</w:t>
      </w:r>
      <w:r>
        <w:rPr>
          <w:rFonts w:hint="eastAsia" w:ascii="仿宋_GB2312" w:hAnsi="仿宋" w:eastAsia="仿宋_GB2312" w:cs="仿宋_GB2312"/>
          <w:color w:val="000000"/>
          <w:sz w:val="32"/>
          <w:szCs w:val="32"/>
          <w:highlight w:val="none"/>
          <w:lang w:val="en-US" w:eastAsia="zh-CN"/>
        </w:rPr>
        <w:t>财务会计部、鞍钢股份有限公司计划财务部、</w:t>
      </w:r>
      <w:r>
        <w:rPr>
          <w:rFonts w:hint="eastAsia" w:ascii="仿宋_GB2312" w:hAnsi="仿宋" w:eastAsia="仿宋_GB2312" w:cs="仿宋_GB2312"/>
          <w:color w:val="000000"/>
          <w:sz w:val="32"/>
          <w:szCs w:val="32"/>
          <w:highlight w:val="none"/>
        </w:rPr>
        <w:t>攀钢集团钢铁钒钛股份有限公司财务部</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rPr>
        <w:t>鞍钢股份有限公司</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rPr>
        <w:t>攀钢集团有限公司</w:t>
      </w:r>
      <w:r>
        <w:rPr>
          <w:rFonts w:hint="eastAsia" w:ascii="仿宋_GB2312" w:hAnsi="仿宋" w:eastAsia="仿宋_GB2312" w:cs="仿宋_GB2312"/>
          <w:color w:val="000000"/>
          <w:sz w:val="32"/>
          <w:szCs w:val="32"/>
          <w:highlight w:val="none"/>
          <w:lang w:eastAsia="zh-CN"/>
        </w:rPr>
        <w:t>、</w:t>
      </w:r>
      <w:r>
        <w:rPr>
          <w:rFonts w:hint="eastAsia" w:ascii="仿宋_GB2312" w:hAnsi="仿宋" w:eastAsia="仿宋_GB2312" w:cs="仿宋_GB2312"/>
          <w:color w:val="000000"/>
          <w:sz w:val="32"/>
          <w:szCs w:val="32"/>
          <w:highlight w:val="none"/>
          <w:lang w:val="en-US" w:eastAsia="zh-CN"/>
        </w:rPr>
        <w:t>本钢集团有限公司工作。现任鞍钢集团有限公司财务部总经理</w:t>
      </w:r>
      <w:r>
        <w:rPr>
          <w:rFonts w:hint="eastAsia" w:ascii="仿宋_GB2312" w:hAnsi="仿宋" w:eastAsia="仿宋_GB2312" w:cs="仿宋_GB2312"/>
          <w:color w:val="000000"/>
          <w:sz w:val="32"/>
          <w:szCs w:val="32"/>
          <w:highlight w:val="none"/>
        </w:rPr>
        <w:t>。</w:t>
      </w:r>
      <w:r>
        <w:rPr>
          <w:rFonts w:hint="eastAsia" w:ascii="仿宋_GB2312" w:hAnsi="Tahoma" w:eastAsia="仿宋_GB2312" w:cs="Tahoma"/>
          <w:b w:val="0"/>
          <w:bCs/>
          <w:snapToGrid w:val="0"/>
          <w:kern w:val="0"/>
          <w:sz w:val="32"/>
          <w:szCs w:val="32"/>
          <w:highlight w:val="none"/>
          <w:lang w:val="en-US" w:eastAsia="zh-CN"/>
        </w:rPr>
        <w:t>2020年8月17日，中国银行保险监督管理委员会辽宁监管局正式批复，核准张景凡鞍钢财务公司董事任职资格。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董事：</w:t>
      </w:r>
      <w:r>
        <w:rPr>
          <w:rFonts w:hint="eastAsia" w:ascii="仿宋_GB2312" w:hAnsi="仿宋_GB2312" w:eastAsia="仿宋_GB2312" w:cs="仿宋_GB2312"/>
          <w:sz w:val="32"/>
          <w:szCs w:val="32"/>
          <w:highlight w:val="none"/>
          <w:lang w:val="en-US" w:eastAsia="zh-CN"/>
        </w:rPr>
        <w:t>李之奇，男，1966年9月出生，辽宁海城人，中共党员，正高级经济师。曾在鞍钢矿山公司供应处、鞍山钢铁集团公司矿山公司、鞍钢集团鞍山矿业公司附属企业、供销公司、鞍钢集团矿业有限公司工作，现任鞍钢财务公司</w:t>
      </w:r>
      <w:r>
        <w:rPr>
          <w:rFonts w:hint="eastAsia" w:ascii="仿宋_GB2312" w:hAnsi="仿宋_GB2312" w:eastAsia="仿宋_GB2312" w:cs="仿宋_GB2312"/>
          <w:sz w:val="32"/>
          <w:szCs w:val="32"/>
          <w:highlight w:val="none"/>
          <w:lang w:val="zh-CN"/>
        </w:rPr>
        <w:t>党委书记、董事、总经理。</w:t>
      </w:r>
      <w:r>
        <w:rPr>
          <w:rFonts w:hint="eastAsia" w:ascii="仿宋_GB2312" w:hAnsi="Tahoma" w:eastAsia="仿宋_GB2312" w:cs="Tahoma"/>
          <w:b w:val="0"/>
          <w:bCs/>
          <w:snapToGrid w:val="0"/>
          <w:kern w:val="0"/>
          <w:sz w:val="32"/>
          <w:szCs w:val="32"/>
          <w:highlight w:val="none"/>
          <w:lang w:val="en-US" w:eastAsia="zh-CN"/>
        </w:rPr>
        <w:t>2021年3月19日，中国银行保险监督管理委员会辽宁监管局正式批复，核准李之奇鞍钢财务公司董事任职资格。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董事：</w:t>
      </w:r>
      <w:r>
        <w:rPr>
          <w:rFonts w:hint="eastAsia" w:ascii="仿宋_GB2312" w:hAnsi="仿宋_GB2312" w:eastAsia="仿宋_GB2312" w:cs="仿宋_GB2312"/>
          <w:b w:val="0"/>
          <w:bCs w:val="0"/>
          <w:sz w:val="32"/>
          <w:szCs w:val="32"/>
          <w:highlight w:val="none"/>
          <w:lang w:val="en-US" w:eastAsia="zh-CN"/>
        </w:rPr>
        <w:t>王阿惠，</w:t>
      </w:r>
      <w:r>
        <w:rPr>
          <w:rFonts w:hint="eastAsia" w:ascii="仿宋_GB2312" w:hAnsi="仿宋_GB2312" w:eastAsia="仿宋_GB2312" w:cs="仿宋_GB2312"/>
          <w:sz w:val="32"/>
          <w:szCs w:val="32"/>
          <w:highlight w:val="none"/>
          <w:lang w:val="en-US" w:eastAsia="zh-CN"/>
        </w:rPr>
        <w:t>女，1987年4月出生，辽宁大连人，中共党员，高级会计师。曾在</w:t>
      </w:r>
      <w:r>
        <w:rPr>
          <w:rFonts w:hint="eastAsia" w:ascii="仿宋_GB2312" w:hAnsi="仿宋_GB2312" w:eastAsia="仿宋_GB2312" w:cs="仿宋_GB2312"/>
          <w:sz w:val="32"/>
          <w:szCs w:val="32"/>
          <w:highlight w:val="none"/>
          <w:lang w:val="zh-CN" w:eastAsia="zh-CN"/>
        </w:rPr>
        <w:t>鞍钢财务公司信贷部、鞍钢集团有限公司财务运营部、鞍钢集团有限公司财务部、鞍钢财务公司客户服务部</w:t>
      </w:r>
      <w:r>
        <w:rPr>
          <w:rFonts w:hint="eastAsia" w:ascii="仿宋_GB2312" w:hAnsi="仿宋_GB2312" w:eastAsia="仿宋_GB2312" w:cs="仿宋_GB2312"/>
          <w:sz w:val="32"/>
          <w:szCs w:val="32"/>
          <w:highlight w:val="none"/>
          <w:lang w:val="en-US" w:eastAsia="zh-CN"/>
        </w:rPr>
        <w:t>工作，现任</w:t>
      </w:r>
      <w:r>
        <w:rPr>
          <w:rFonts w:hint="eastAsia" w:ascii="仿宋_GB2312" w:hAnsi="仿宋_GB2312" w:eastAsia="仿宋_GB2312" w:cs="仿宋_GB2312"/>
          <w:sz w:val="32"/>
          <w:szCs w:val="32"/>
          <w:highlight w:val="none"/>
          <w:lang w:val="zh-CN" w:eastAsia="zh-CN"/>
        </w:rPr>
        <w:t>鞍钢财务公司结算业务部</w:t>
      </w:r>
      <w:r>
        <w:rPr>
          <w:rFonts w:hint="eastAsia" w:ascii="仿宋_GB2312" w:hAnsi="仿宋_GB2312" w:eastAsia="仿宋_GB2312" w:cs="仿宋_GB2312"/>
          <w:sz w:val="32"/>
          <w:szCs w:val="32"/>
          <w:highlight w:val="none"/>
          <w:lang w:val="en-US" w:eastAsia="zh-CN"/>
        </w:rPr>
        <w:t>经理。2023</w:t>
      </w:r>
      <w:r>
        <w:rPr>
          <w:rFonts w:hint="eastAsia" w:ascii="仿宋_GB2312" w:hAnsi="Tahoma" w:eastAsia="仿宋_GB2312" w:cs="Tahoma"/>
          <w:b w:val="0"/>
          <w:bCs/>
          <w:snapToGrid w:val="0"/>
          <w:kern w:val="0"/>
          <w:sz w:val="32"/>
          <w:szCs w:val="32"/>
          <w:highlight w:val="none"/>
          <w:lang w:val="en-US" w:eastAsia="zh-CN"/>
        </w:rPr>
        <w:t>年7月10日，中国银行业监督管理委员会辽宁监管局正式批复，核准王阿惠鞍钢财务公司董事任职资格。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bookmarkStart w:id="30" w:name="bookmark57"/>
      <w:bookmarkEnd w:id="30"/>
      <w:bookmarkStart w:id="31" w:name="bookmark55"/>
      <w:bookmarkStart w:id="32" w:name="bookmark56"/>
      <w:bookmarkStart w:id="33" w:name="bookmark58"/>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zh-CN" w:eastAsia="zh-CN"/>
        </w:rPr>
        <w:t>董</w:t>
      </w:r>
      <w:r>
        <w:rPr>
          <w:rFonts w:hint="eastAsia" w:ascii="仿宋_GB2312" w:hAnsi="仿宋_GB2312" w:eastAsia="仿宋_GB2312" w:cs="仿宋_GB2312"/>
          <w:b/>
          <w:bCs/>
          <w:sz w:val="32"/>
          <w:szCs w:val="32"/>
          <w:highlight w:val="none"/>
        </w:rPr>
        <w:t>事会会议召开情况</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年度，公司董事会共召开</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次会议，会议频次及召开程序均符合法规和监管要求，有效发挥了董事会的决策作用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具体情况如下表：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tbl>
      <w:tblPr>
        <w:tblStyle w:val="10"/>
        <w:tblW w:w="10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500"/>
        <w:gridCol w:w="1692"/>
        <w:gridCol w:w="1968"/>
        <w:gridCol w:w="1793"/>
        <w:gridCol w:w="1025"/>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bookmarkStart w:id="34" w:name="bookmark59"/>
            <w:bookmarkEnd w:id="34"/>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序号</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时间</w:t>
            </w:r>
          </w:p>
        </w:tc>
        <w:tc>
          <w:tcPr>
            <w:tcW w:w="16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会议地点</w:t>
            </w:r>
          </w:p>
        </w:tc>
        <w:tc>
          <w:tcPr>
            <w:tcW w:w="19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参会情况</w:t>
            </w:r>
          </w:p>
        </w:tc>
        <w:tc>
          <w:tcPr>
            <w:tcW w:w="17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类别</w:t>
            </w:r>
          </w:p>
        </w:tc>
        <w:tc>
          <w:tcPr>
            <w:tcW w:w="10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审议议案数量</w:t>
            </w:r>
          </w:p>
        </w:tc>
        <w:tc>
          <w:tcPr>
            <w:tcW w:w="1284"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表决情况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2023.3.27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第六届董事会第十三次会议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7</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2023.4.25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第六届董事会第十四次会议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8</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2023.6.30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第六届董事会第十五次会议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2023.7.13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第六届董事会第十六次会议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4</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2023.8.31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第六届董事会第十七次会议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6</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7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2023.9.25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第六届董事会第十八次会议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w:t>
            </w:r>
          </w:p>
        </w:tc>
        <w:tc>
          <w:tcPr>
            <w:tcW w:w="12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76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7</w:t>
            </w:r>
          </w:p>
        </w:tc>
        <w:tc>
          <w:tcPr>
            <w:tcW w:w="15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2023.12.20</w:t>
            </w:r>
          </w:p>
        </w:tc>
        <w:tc>
          <w:tcPr>
            <w:tcW w:w="16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9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全体董事出席</w:t>
            </w:r>
          </w:p>
        </w:tc>
        <w:tc>
          <w:tcPr>
            <w:tcW w:w="17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第六届董事会第十九次会议</w:t>
            </w:r>
          </w:p>
        </w:tc>
        <w:tc>
          <w:tcPr>
            <w:tcW w:w="10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9</w:t>
            </w:r>
          </w:p>
        </w:tc>
        <w:tc>
          <w:tcPr>
            <w:tcW w:w="1284"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仿宋_GB2312" w:hAnsi="仿宋_GB2312" w:eastAsia="仿宋_GB2312" w:cs="仿宋_GB2312"/>
                <w:i w:val="0"/>
                <w:iCs w:val="0"/>
                <w:color w:val="000000"/>
                <w:spacing w:val="0"/>
                <w:w w:val="100"/>
                <w:position w:val="0"/>
                <w:sz w:val="21"/>
                <w:szCs w:val="21"/>
                <w:highlight w:val="none"/>
                <w:u w:val="none"/>
                <w:shd w:val="clear" w:color="auto" w:fill="auto"/>
                <w:lang w:val="en-US" w:eastAsia="zh-CN" w:bidi="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35" w:name="bookmark62"/>
      <w:bookmarkStart w:id="36" w:name="bookmark61"/>
      <w:bookmarkStart w:id="37" w:name="bookmark60"/>
      <w:r>
        <w:rPr>
          <w:rFonts w:hint="eastAsia" w:ascii="楷体_GB2312" w:hAnsi="楷体_GB2312" w:eastAsia="楷体_GB2312" w:cs="楷体_GB2312"/>
          <w:b/>
          <w:bCs/>
          <w:sz w:val="32"/>
          <w:szCs w:val="32"/>
          <w:highlight w:val="none"/>
        </w:rPr>
        <w:t>（五）监事会职责</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人员构成</w:t>
      </w:r>
      <w:r>
        <w:rPr>
          <w:rFonts w:hint="eastAsia" w:ascii="楷体_GB2312" w:hAnsi="楷体_GB2312" w:eastAsia="楷体_GB2312" w:cs="楷体_GB2312"/>
          <w:b/>
          <w:bCs/>
          <w:sz w:val="32"/>
          <w:szCs w:val="32"/>
          <w:highlight w:val="none"/>
        </w:rPr>
        <w:t>及会议召开情况</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bookmarkStart w:id="38" w:name="bookmark63"/>
      <w:bookmarkEnd w:id="38"/>
      <w:bookmarkStart w:id="39" w:name="bookmark64"/>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监事会职责</w:t>
      </w:r>
      <w:bookmarkEnd w:id="36"/>
      <w:bookmarkEnd w:id="37"/>
      <w:bookmarkEnd w:id="39"/>
    </w:p>
    <w:p>
      <w:pPr>
        <w:pStyle w:val="5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bookmarkStart w:id="40" w:name="bookmark65"/>
      <w:bookmarkEnd w:id="40"/>
      <w:r>
        <w:rPr>
          <w:rFonts w:hint="eastAsia" w:ascii="仿宋_GB2312" w:hAnsi="仿宋_GB2312" w:eastAsia="仿宋_GB2312" w:cs="仿宋_GB2312"/>
          <w:sz w:val="32"/>
          <w:szCs w:val="32"/>
          <w:highlight w:val="none"/>
          <w:lang w:val="en-US" w:eastAsia="zh-CN"/>
        </w:rPr>
        <w:t>主要负责监督董事会确定稳健的经营理念、价值准则和制定符合公司情况的发展战略；对公司经营决策、风险管理和内部控制等进行监督检查并督促整改；对公司薪酬管理制度实施情况及高级管理人员薪酬方案的科学性、合理性进行监督；</w:t>
      </w:r>
      <w:r>
        <w:rPr>
          <w:rFonts w:hint="eastAsia" w:ascii="仿宋_GB2312" w:hAnsi="仿宋_GB2312" w:eastAsia="仿宋_GB2312" w:cs="仿宋_GB2312"/>
          <w:sz w:val="32"/>
          <w:szCs w:val="32"/>
          <w:highlight w:val="none"/>
        </w:rPr>
        <w:t>检查公司财务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对董事、高级管理人员执行公司职务的行为进行监督，对违反法律、行政法规、公司章程或者股东会决议的董事、高级管理人员提出罢免的建议</w:t>
      </w:r>
      <w:r>
        <w:rPr>
          <w:rFonts w:hint="eastAsia" w:ascii="仿宋_GB2312" w:hAnsi="仿宋_GB2312" w:eastAsia="仿宋_GB2312" w:cs="仿宋_GB2312"/>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监事会成员构成及其简历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bookmarkStart w:id="41" w:name="bookmark67"/>
      <w:bookmarkStart w:id="42" w:name="bookmark66"/>
      <w:bookmarkStart w:id="43" w:name="bookmark68"/>
      <w:r>
        <w:rPr>
          <w:rFonts w:hint="eastAsia" w:ascii="仿宋_GB2312" w:hAnsi="仿宋_GB2312" w:eastAsia="仿宋_GB2312" w:cs="仿宋_GB2312"/>
          <w:b/>
          <w:bCs/>
          <w:sz w:val="32"/>
          <w:szCs w:val="32"/>
          <w:highlight w:val="none"/>
          <w:lang w:val="en-US" w:eastAsia="zh-CN"/>
        </w:rPr>
        <w:t>监事会主席：</w:t>
      </w:r>
      <w:r>
        <w:rPr>
          <w:rFonts w:hint="eastAsia" w:ascii="仿宋_GB2312" w:hAnsi="仿宋_GB2312" w:eastAsia="仿宋_GB2312" w:cs="仿宋_GB2312"/>
          <w:sz w:val="32"/>
          <w:szCs w:val="32"/>
          <w:highlight w:val="none"/>
          <w:lang w:val="en-US" w:eastAsia="zh-CN"/>
        </w:rPr>
        <w:t>宋英韬，男，1971年4月出生，辽宁岫岩人，中共党员，教授级高级政工师。曾在</w:t>
      </w:r>
      <w:r>
        <w:rPr>
          <w:rFonts w:hint="eastAsia" w:ascii="仿宋_GB2312" w:hAnsi="仿宋_GB2312" w:eastAsia="仿宋_GB2312" w:cs="仿宋_GB2312"/>
          <w:sz w:val="32"/>
          <w:szCs w:val="32"/>
          <w:highlight w:val="none"/>
          <w:lang w:val="zh-CN"/>
        </w:rPr>
        <w:t>鞍</w:t>
      </w:r>
      <w:r>
        <w:rPr>
          <w:rFonts w:hint="eastAsia" w:ascii="仿宋_GB2312" w:hAnsi="仿宋_GB2312" w:eastAsia="仿宋_GB2312" w:cs="仿宋_GB2312"/>
          <w:sz w:val="32"/>
          <w:szCs w:val="32"/>
          <w:highlight w:val="none"/>
          <w:lang w:val="zh-CN" w:eastAsia="zh-CN"/>
        </w:rPr>
        <w:t>山冶金运输学校、</w:t>
      </w:r>
      <w:r>
        <w:rPr>
          <w:rFonts w:hint="eastAsia" w:ascii="仿宋_GB2312" w:hAnsi="仿宋_GB2312" w:eastAsia="仿宋_GB2312" w:cs="仿宋_GB2312"/>
          <w:sz w:val="32"/>
          <w:szCs w:val="32"/>
          <w:highlight w:val="none"/>
          <w:lang w:val="zh-CN"/>
        </w:rPr>
        <w:t>鞍钢</w:t>
      </w:r>
      <w:r>
        <w:rPr>
          <w:rFonts w:hint="eastAsia" w:ascii="仿宋_GB2312" w:hAnsi="仿宋_GB2312" w:eastAsia="仿宋_GB2312" w:cs="仿宋_GB2312"/>
          <w:sz w:val="32"/>
          <w:szCs w:val="32"/>
          <w:highlight w:val="none"/>
          <w:lang w:val="en-US" w:eastAsia="zh-CN"/>
        </w:rPr>
        <w:t>团委宣传部、鞍钢新钢铁公司、鞍钢新轧钢公司、鞍钢集团有限公司、鞍钢日报、鞍钢集团广告传媒经营公司工作，现任鞍钢财务公司党委副书记、纪委书记、工会主席、监事会主席。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监事：</w:t>
      </w:r>
      <w:r>
        <w:rPr>
          <w:rFonts w:hint="eastAsia" w:ascii="仿宋_GB2312" w:hAnsi="仿宋_GB2312" w:eastAsia="仿宋_GB2312" w:cs="仿宋_GB2312"/>
          <w:b w:val="0"/>
          <w:bCs w:val="0"/>
          <w:sz w:val="32"/>
          <w:szCs w:val="32"/>
          <w:highlight w:val="none"/>
          <w:lang w:val="en-US" w:eastAsia="zh-CN"/>
        </w:rPr>
        <w:t>徐克汉</w:t>
      </w:r>
      <w:r>
        <w:rPr>
          <w:rFonts w:hint="eastAsia" w:ascii="仿宋_GB2312" w:hAnsi="仿宋_GB2312" w:eastAsia="仿宋_GB2312" w:cs="仿宋_GB2312"/>
          <w:sz w:val="32"/>
          <w:szCs w:val="32"/>
          <w:highlight w:val="none"/>
          <w:lang w:val="en-US" w:eastAsia="zh-CN"/>
        </w:rPr>
        <w:t>，男，1968年3月出生，辽宁海城人，中共党员，高级经济师。曾在鞍钢房产公司企管处、鞍钢房地产管理开发部、鞍钢集团专职董（监）事办公室工作，现任鞍钢财务公司监事。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监事：</w:t>
      </w:r>
      <w:r>
        <w:rPr>
          <w:rFonts w:hint="eastAsia" w:ascii="仿宋_GB2312" w:hAnsi="仿宋_GB2312" w:eastAsia="仿宋_GB2312" w:cs="仿宋_GB2312"/>
          <w:sz w:val="32"/>
          <w:szCs w:val="32"/>
          <w:highlight w:val="none"/>
          <w:lang w:val="en-US" w:eastAsia="zh-CN"/>
        </w:rPr>
        <w:t>赵丽刚，男，1963年6月出生，辽宁海城人，中共党员，高级会计师。曾在鞍钢第二薄板厂、鞍钢劳动工资处、鞍钢供销公司、鞍钢财会部、鞍钢财务公司工作，现任鞍钢财务公司监事。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en-US"/>
        </w:rPr>
        <w:t>3.</w:t>
      </w:r>
      <w:r>
        <w:rPr>
          <w:rFonts w:hint="eastAsia" w:ascii="仿宋_GB2312" w:hAnsi="仿宋_GB2312" w:eastAsia="仿宋_GB2312" w:cs="仿宋_GB2312"/>
          <w:b/>
          <w:bCs/>
          <w:sz w:val="32"/>
          <w:szCs w:val="32"/>
          <w:highlight w:val="none"/>
        </w:rPr>
        <w:t>监事会会议召开情况</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年度，公司共召开</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次监事会会议，会议频次及召开程序均符合法规和监管要求。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tbl>
      <w:tblPr>
        <w:tblStyle w:val="10"/>
        <w:tblW w:w="9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284"/>
        <w:gridCol w:w="1745"/>
        <w:gridCol w:w="1536"/>
        <w:gridCol w:w="1740"/>
        <w:gridCol w:w="996"/>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36"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bookmarkStart w:id="44" w:name="bookmark71"/>
            <w:bookmarkStart w:id="45" w:name="bookmark69"/>
            <w:bookmarkStart w:id="46" w:name="bookmark70"/>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序号</w:t>
            </w:r>
          </w:p>
        </w:tc>
        <w:tc>
          <w:tcPr>
            <w:tcW w:w="12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时间</w:t>
            </w:r>
          </w:p>
        </w:tc>
        <w:tc>
          <w:tcPr>
            <w:tcW w:w="17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会议地点</w:t>
            </w:r>
          </w:p>
        </w:tc>
        <w:tc>
          <w:tcPr>
            <w:tcW w:w="15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参会情况</w:t>
            </w:r>
          </w:p>
        </w:tc>
        <w:tc>
          <w:tcPr>
            <w:tcW w:w="17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类别</w:t>
            </w:r>
          </w:p>
        </w:tc>
        <w:tc>
          <w:tcPr>
            <w:tcW w:w="9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审议议案数量</w:t>
            </w:r>
          </w:p>
        </w:tc>
        <w:tc>
          <w:tcPr>
            <w:tcW w:w="1208"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spacing w:val="0"/>
                <w:w w:val="100"/>
                <w:kern w:val="0"/>
                <w:position w:val="0"/>
                <w:sz w:val="21"/>
                <w:szCs w:val="21"/>
                <w:highlight w:val="none"/>
                <w:u w:val="none"/>
                <w:shd w:val="clear" w:color="auto" w:fill="auto"/>
                <w:lang w:val="en-US" w:eastAsia="zh-CN" w:bidi="ar"/>
              </w:rPr>
              <w:t>表决情况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2022.3.30</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全体监事出席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第三届监事会第十二次会议</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2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2022.5.31</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全体监事出席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第三届监事会第十三次会议</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2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jc w:val="center"/>
        </w:trPr>
        <w:tc>
          <w:tcPr>
            <w:tcW w:w="6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2022.9.26</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全体监事出席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第三届监事会第十四次会议</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3</w:t>
            </w:r>
          </w:p>
        </w:tc>
        <w:tc>
          <w:tcPr>
            <w:tcW w:w="120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36"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4</w:t>
            </w:r>
          </w:p>
        </w:tc>
        <w:tc>
          <w:tcPr>
            <w:tcW w:w="12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2022.12.21</w:t>
            </w:r>
          </w:p>
        </w:tc>
        <w:tc>
          <w:tcPr>
            <w:tcW w:w="17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鞍钢财务公司四楼会议室</w:t>
            </w:r>
          </w:p>
        </w:tc>
        <w:tc>
          <w:tcPr>
            <w:tcW w:w="15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全体监事出席</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第三届监事会第十五次会议</w:t>
            </w:r>
          </w:p>
        </w:tc>
        <w:tc>
          <w:tcPr>
            <w:tcW w:w="9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1</w:t>
            </w:r>
          </w:p>
        </w:tc>
        <w:tc>
          <w:tcPr>
            <w:tcW w:w="120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pacing w:val="0"/>
                <w:w w:val="100"/>
                <w:kern w:val="0"/>
                <w:position w:val="0"/>
                <w:sz w:val="21"/>
                <w:szCs w:val="21"/>
                <w:highlight w:val="none"/>
                <w:u w:val="none"/>
                <w:shd w:val="clear" w:color="auto" w:fill="auto"/>
                <w:lang w:val="en-US" w:eastAsia="zh-CN" w:bidi="ar"/>
              </w:rPr>
              <w:t>全体通过</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rPr>
        <w:t>（六）高级管理层职责</w:t>
      </w:r>
      <w:bookmarkEnd w:id="44"/>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人员构成情况</w:t>
      </w:r>
    </w:p>
    <w:p>
      <w:pPr>
        <w:keepNext w:val="0"/>
        <w:keepLines w:val="0"/>
        <w:pageBreakBefore w:val="0"/>
        <w:widowControl w:val="0"/>
        <w:kinsoku/>
        <w:wordWrap/>
        <w:overflowPunct/>
        <w:topLinePunct w:val="0"/>
        <w:bidi w:val="0"/>
        <w:spacing w:line="560" w:lineRule="exact"/>
        <w:ind w:firstLine="643" w:firstLineChars="200"/>
        <w:textAlignment w:val="auto"/>
        <w:rPr>
          <w:rFonts w:hint="default" w:ascii="仿宋_GB2312" w:hAnsi="仿宋_GB2312" w:eastAsia="仿宋_GB2312" w:cs="仿宋_GB2312"/>
          <w:b/>
          <w:bCs/>
          <w:sz w:val="32"/>
          <w:szCs w:val="32"/>
          <w:highlight w:val="none"/>
          <w:lang w:val="en-US" w:eastAsia="zh-CN"/>
        </w:rPr>
      </w:pPr>
      <w:bookmarkStart w:id="47" w:name="bookmark72"/>
      <w:bookmarkEnd w:id="47"/>
      <w:bookmarkStart w:id="48" w:name="bookmark73"/>
      <w:r>
        <w:rPr>
          <w:rFonts w:hint="eastAsia" w:ascii="仿宋_GB2312" w:hAnsi="仿宋_GB2312" w:eastAsia="仿宋_GB2312" w:cs="仿宋_GB2312"/>
          <w:b/>
          <w:bCs/>
          <w:sz w:val="32"/>
          <w:szCs w:val="32"/>
          <w:highlight w:val="none"/>
          <w:lang w:val="en-US" w:eastAsia="zh-CN"/>
        </w:rPr>
        <w:t>1.高级管理层职责</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高级管理</w:t>
      </w:r>
      <w:r>
        <w:rPr>
          <w:rFonts w:hint="eastAsia" w:ascii="仿宋_GB2312" w:hAnsi="仿宋_GB2312" w:eastAsia="仿宋_GB2312" w:cs="仿宋_GB2312"/>
          <w:sz w:val="32"/>
          <w:szCs w:val="32"/>
          <w:highlight w:val="none"/>
        </w:rPr>
        <w:t>层是公司的执行机构，根据公司章程及董事会授权开展经营管理活动，谋经营、抓落实、强管理，接受董事会管理和监事会监督。</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高级管理层按照董事会、监事会要求，及时、准确、完整地报告公司经营管理情况，提供有关资料。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高级管理层根据公司章程及董事会授权开展经营管理活动，积极执行股东会决议及董事会决议，</w:t>
      </w:r>
      <w:r>
        <w:rPr>
          <w:rFonts w:hint="eastAsia" w:ascii="仿宋_GB2312" w:hAnsi="仿宋_GB2312" w:eastAsia="仿宋_GB2312" w:cs="仿宋_GB2312"/>
          <w:sz w:val="32"/>
          <w:szCs w:val="32"/>
          <w:highlight w:val="none"/>
        </w:rPr>
        <w:t>在其职权范围内的经营管理活动不受股东和董事会不当干预。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2.高级管理层</w:t>
      </w:r>
      <w:r>
        <w:rPr>
          <w:rFonts w:hint="eastAsia" w:ascii="仿宋_GB2312" w:hAnsi="仿宋_GB2312" w:eastAsia="仿宋_GB2312" w:cs="仿宋_GB2312"/>
          <w:b/>
          <w:bCs/>
          <w:sz w:val="32"/>
          <w:szCs w:val="32"/>
          <w:highlight w:val="none"/>
        </w:rPr>
        <w:t>成员构成及其简历</w:t>
      </w:r>
    </w:p>
    <w:bookmarkEnd w:id="45"/>
    <w:bookmarkEnd w:id="46"/>
    <w:bookmarkEnd w:id="48"/>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总经理：</w:t>
      </w:r>
      <w:r>
        <w:rPr>
          <w:rFonts w:hint="eastAsia" w:ascii="仿宋_GB2312" w:hAnsi="仿宋_GB2312" w:eastAsia="仿宋_GB2312" w:cs="仿宋_GB2312"/>
          <w:sz w:val="32"/>
          <w:szCs w:val="32"/>
          <w:highlight w:val="none"/>
          <w:lang w:val="en-US" w:eastAsia="zh-CN"/>
        </w:rPr>
        <w:t>李之奇，男，1966年9月出生，辽宁海城人，中共党员，正高级经济师。曾在鞍钢矿山公司供应处、鞍山钢铁集团公司矿山公司、鞍钢集团鞍山矿业公司附属企业、供销公司、鞍钢集团矿业有限公司工作，现任鞍钢财务公司</w:t>
      </w:r>
      <w:r>
        <w:rPr>
          <w:rFonts w:hint="eastAsia" w:ascii="仿宋_GB2312" w:hAnsi="仿宋_GB2312" w:eastAsia="仿宋_GB2312" w:cs="仿宋_GB2312"/>
          <w:sz w:val="32"/>
          <w:szCs w:val="32"/>
          <w:highlight w:val="none"/>
          <w:lang w:val="zh-CN"/>
        </w:rPr>
        <w:t>党委书记、董事、总经理。</w:t>
      </w:r>
      <w:r>
        <w:rPr>
          <w:rFonts w:hint="eastAsia" w:ascii="仿宋_GB2312" w:hAnsi="Tahoma" w:eastAsia="仿宋_GB2312" w:cs="Tahoma"/>
          <w:b w:val="0"/>
          <w:bCs/>
          <w:snapToGrid w:val="0"/>
          <w:kern w:val="0"/>
          <w:sz w:val="32"/>
          <w:szCs w:val="32"/>
          <w:highlight w:val="none"/>
          <w:lang w:val="en-US" w:eastAsia="zh-CN"/>
        </w:rPr>
        <w:t>2021年5月12日，中国银行保险监督管理委员会辽宁监管局正式批复，核准李之奇鞍钢财务公司总经理任职资格。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highlight w:val="none"/>
          <w:lang w:val="en-US" w:eastAsia="zh-CN"/>
        </w:rPr>
        <w:t>副总经理：</w:t>
      </w:r>
      <w:r>
        <w:rPr>
          <w:rFonts w:hint="eastAsia" w:ascii="仿宋_GB2312" w:hAnsi="仿宋_GB2312" w:eastAsia="仿宋_GB2312" w:cs="仿宋_GB2312"/>
          <w:kern w:val="0"/>
          <w:sz w:val="32"/>
          <w:szCs w:val="32"/>
          <w:highlight w:val="none"/>
          <w:lang w:val="en-US" w:eastAsia="zh-CN"/>
        </w:rPr>
        <w:t>曹爱民，男，1967年6月出生，河南洛阳人，中共党员，教授级高级会计师</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曾在本钢一建、本钢财务部、本溪钢铁公司、本钢集团、本钢财务公司工作，现任鞍钢财务公司副总经理。</w:t>
      </w:r>
      <w:r>
        <w:rPr>
          <w:rFonts w:hint="eastAsia" w:ascii="仿宋_GB2312" w:hAnsi="Tahoma" w:eastAsia="仿宋_GB2312" w:cs="Tahoma"/>
          <w:b w:val="0"/>
          <w:bCs/>
          <w:snapToGrid w:val="0"/>
          <w:kern w:val="0"/>
          <w:sz w:val="32"/>
          <w:szCs w:val="32"/>
          <w:highlight w:val="none"/>
          <w:lang w:val="en-US" w:eastAsia="zh-CN"/>
        </w:rPr>
        <w:t>2022年11月4日，中国银行保险监督管理委员会辽宁监管局正式批复，核准曹爱民鞍钢财务公司副总经理任职资格。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sz w:val="32"/>
          <w:szCs w:val="32"/>
          <w:highlight w:val="none"/>
          <w:lang w:val="en-US" w:eastAsia="zh-CN"/>
        </w:rPr>
        <w:t>副总经理、董事会秘书、首席合规官：</w:t>
      </w:r>
      <w:r>
        <w:rPr>
          <w:rFonts w:hint="eastAsia" w:ascii="仿宋_GB2312" w:hAnsi="仿宋_GB2312" w:eastAsia="仿宋_GB2312" w:cs="仿宋_GB2312"/>
          <w:kern w:val="0"/>
          <w:sz w:val="32"/>
          <w:szCs w:val="32"/>
          <w:highlight w:val="none"/>
          <w:lang w:val="en-US" w:eastAsia="zh-CN"/>
        </w:rPr>
        <w:t>王连凤，女，1982年12月出生，辽宁辽阳人，中共党员，高级经济师。曾在鞍钢财务公司计划会计部、投资咨询部、营业部、住房资金管理部、国际业务部、结算业务部工作，现任鞍钢财务公司党委委员、副总经理、董事会秘书、首席合规官、总法律顾问。</w:t>
      </w:r>
      <w:r>
        <w:rPr>
          <w:rFonts w:hint="eastAsia" w:ascii="仿宋_GB2312" w:hAnsi="Tahoma" w:eastAsia="仿宋_GB2312" w:cs="Tahoma"/>
          <w:b w:val="0"/>
          <w:bCs/>
          <w:snapToGrid w:val="0"/>
          <w:kern w:val="0"/>
          <w:sz w:val="32"/>
          <w:szCs w:val="32"/>
          <w:highlight w:val="none"/>
          <w:lang w:val="en-US" w:eastAsia="zh-CN"/>
        </w:rPr>
        <w:t>2022年9月27日，中国银行保险监督管理委员会辽宁监管局正式批复，核准王连凤鞍钢财务公司副总经理任职资格；2023年1月9日，向中国银行保险监督管理委员会辽宁监管局备案董事会秘书、首席合规官职务。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lang w:val="en-US" w:eastAsia="zh-CN"/>
        </w:rPr>
      </w:pPr>
      <w:bookmarkStart w:id="49" w:name="bookmark81"/>
      <w:bookmarkStart w:id="50" w:name="bookmark79"/>
      <w:bookmarkStart w:id="51" w:name="bookmark80"/>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七</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薪酬管理</w:t>
      </w:r>
      <w:r>
        <w:rPr>
          <w:rFonts w:hint="eastAsia" w:ascii="楷体_GB2312" w:hAnsi="楷体_GB2312" w:eastAsia="楷体_GB2312" w:cs="楷体_GB2312"/>
          <w:b/>
          <w:bCs/>
          <w:sz w:val="32"/>
          <w:szCs w:val="32"/>
          <w:highlight w:val="none"/>
          <w:lang w:val="en-US" w:eastAsia="zh-CN"/>
        </w:rPr>
        <w:t>制度及董监高薪酬情况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1.薪酬管理制度情况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公司制定《鞍钢集团财务有限责任公司企业负责人综合考核评价与薪酬管理办法》《鞍钢集团财务有限责任公司薪酬管理办法》《鞍钢集团财务有限责任公司绩效评价管理办法》《鞍钢集团财务有限责任公司绩效薪酬延期支付与追索扣回管理办法》《鞍钢集团财务有限责任公司总经理嘉奖管理办法》，明确了员工职级分类体系及其薪酬对应标准，规定了基本薪酬的档次分类及晋级办法，规定了绩效薪酬的档次分类及考核管理办法，明确了高管人员绩效薪酬的延期支付和追索扣回情形。</w:t>
      </w:r>
    </w:p>
    <w:p>
      <w:pPr>
        <w:numPr>
          <w:ilvl w:val="0"/>
          <w:numId w:val="0"/>
        </w:numPr>
        <w:adjustRightInd w:val="0"/>
        <w:spacing w:line="560" w:lineRule="exact"/>
        <w:ind w:firstLine="640" w:firstLineChars="200"/>
        <w:jc w:val="both"/>
        <w:rPr>
          <w:rFonts w:hint="eastAsia" w:ascii="仿宋_GB2312" w:hAnsi="Times New Roman" w:eastAsia="仿宋_GB2312" w:cs="Times New Roman"/>
          <w:kern w:val="0"/>
          <w:sz w:val="32"/>
          <w:szCs w:val="32"/>
          <w:highlight w:val="none"/>
        </w:rPr>
      </w:pPr>
      <w:r>
        <w:rPr>
          <w:rFonts w:hint="eastAsia" w:ascii="仿宋_GB2312" w:hAnsi="仿宋_GB2312" w:eastAsia="仿宋_GB2312" w:cs="仿宋_GB2312"/>
          <w:sz w:val="32"/>
          <w:szCs w:val="32"/>
          <w:highlight w:val="none"/>
          <w:lang w:val="en-US" w:eastAsia="zh-CN"/>
        </w:rPr>
        <w:t>鞍钢财务公司</w:t>
      </w:r>
      <w:r>
        <w:rPr>
          <w:rFonts w:hint="eastAsia" w:ascii="仿宋_GB2312" w:eastAsia="仿宋_GB2312" w:cs="Times New Roman"/>
          <w:kern w:val="0"/>
          <w:sz w:val="32"/>
          <w:szCs w:val="32"/>
          <w:highlight w:val="none"/>
          <w:lang w:val="en-US" w:eastAsia="zh-CN"/>
        </w:rPr>
        <w:t>设立了</w:t>
      </w:r>
      <w:r>
        <w:rPr>
          <w:rFonts w:hint="eastAsia" w:ascii="仿宋_GB2312" w:hAnsi="Times New Roman" w:eastAsia="仿宋_GB2312" w:cs="Times New Roman"/>
          <w:kern w:val="0"/>
          <w:sz w:val="32"/>
          <w:szCs w:val="32"/>
          <w:highlight w:val="none"/>
        </w:rPr>
        <w:t>绩效与薪酬管理委员会，</w:t>
      </w:r>
      <w:r>
        <w:rPr>
          <w:rFonts w:hint="eastAsia" w:ascii="仿宋_GB2312" w:eastAsia="仿宋_GB2312"/>
          <w:kern w:val="0"/>
          <w:sz w:val="32"/>
          <w:szCs w:val="32"/>
          <w:highlight w:val="none"/>
        </w:rPr>
        <w:t>绩效与薪酬管理委员会实行主任负责制，设主任一名，副主任和成员若干，主任由公司总经理担任，副主任由党政领导班子副职担任，成员部门包括综合管理部、</w:t>
      </w:r>
      <w:r>
        <w:rPr>
          <w:rFonts w:hint="eastAsia" w:ascii="仿宋_GB2312" w:eastAsia="仿宋_GB2312"/>
          <w:kern w:val="0"/>
          <w:sz w:val="32"/>
          <w:szCs w:val="32"/>
          <w:highlight w:val="none"/>
          <w:lang w:val="en-US" w:eastAsia="zh-CN"/>
        </w:rPr>
        <w:t>审计稽核</w:t>
      </w:r>
      <w:r>
        <w:rPr>
          <w:rFonts w:hint="eastAsia" w:ascii="仿宋_GB2312" w:eastAsia="仿宋_GB2312"/>
          <w:kern w:val="0"/>
          <w:sz w:val="32"/>
          <w:szCs w:val="32"/>
          <w:highlight w:val="none"/>
        </w:rPr>
        <w:t>部、风险控制部、财务管理部。绩效与薪酬管理委员会</w:t>
      </w:r>
      <w:r>
        <w:rPr>
          <w:rFonts w:hint="eastAsia" w:ascii="仿宋_GB2312" w:hAnsi="Times New Roman" w:eastAsia="仿宋_GB2312" w:cs="Times New Roman"/>
          <w:kern w:val="0"/>
          <w:sz w:val="32"/>
          <w:szCs w:val="32"/>
          <w:highlight w:val="none"/>
        </w:rPr>
        <w:t>负责审议绩效评价考核办法；</w:t>
      </w:r>
      <w:r>
        <w:rPr>
          <w:rFonts w:hint="eastAsia" w:ascii="仿宋_GB2312" w:eastAsia="仿宋_GB2312" w:cs="Times New Roman"/>
          <w:kern w:val="0"/>
          <w:sz w:val="32"/>
          <w:szCs w:val="32"/>
          <w:highlight w:val="none"/>
          <w:lang w:val="en-US" w:eastAsia="zh-CN"/>
        </w:rPr>
        <w:t>审议薪酬管理办法；</w:t>
      </w:r>
      <w:r>
        <w:rPr>
          <w:rFonts w:hint="eastAsia" w:ascii="仿宋_GB2312" w:hAnsi="Times New Roman" w:eastAsia="仿宋_GB2312" w:cs="Times New Roman"/>
          <w:kern w:val="0"/>
          <w:sz w:val="32"/>
          <w:szCs w:val="32"/>
          <w:highlight w:val="none"/>
        </w:rPr>
        <w:t>审议工资总额预算方案；</w:t>
      </w:r>
      <w:r>
        <w:rPr>
          <w:rFonts w:hint="eastAsia" w:ascii="仿宋_GB2312" w:eastAsia="仿宋_GB2312" w:cs="Times New Roman"/>
          <w:kern w:val="0"/>
          <w:sz w:val="32"/>
          <w:szCs w:val="32"/>
          <w:highlight w:val="none"/>
          <w:lang w:val="en-US" w:eastAsia="zh-CN"/>
        </w:rPr>
        <w:t>审定战略绩效考核指标和专项考核指标；</w:t>
      </w:r>
      <w:r>
        <w:rPr>
          <w:rFonts w:hint="eastAsia" w:ascii="仿宋_GB2312" w:hAnsi="Times New Roman" w:eastAsia="仿宋_GB2312" w:cs="Times New Roman"/>
          <w:kern w:val="0"/>
          <w:sz w:val="32"/>
          <w:szCs w:val="32"/>
          <w:highlight w:val="none"/>
        </w:rPr>
        <w:t>审</w:t>
      </w:r>
      <w:r>
        <w:rPr>
          <w:rFonts w:hint="eastAsia" w:ascii="仿宋_GB2312" w:eastAsia="仿宋_GB2312" w:cs="Times New Roman"/>
          <w:kern w:val="0"/>
          <w:sz w:val="32"/>
          <w:szCs w:val="32"/>
          <w:highlight w:val="none"/>
          <w:lang w:val="en-US" w:eastAsia="zh-CN"/>
        </w:rPr>
        <w:t>定</w:t>
      </w:r>
      <w:r>
        <w:rPr>
          <w:rFonts w:hint="eastAsia" w:ascii="仿宋_GB2312" w:hAnsi="Times New Roman" w:eastAsia="仿宋_GB2312" w:cs="Times New Roman"/>
          <w:kern w:val="0"/>
          <w:sz w:val="32"/>
          <w:szCs w:val="32"/>
          <w:highlight w:val="none"/>
        </w:rPr>
        <w:t>战略绩效考核评价报告</w:t>
      </w:r>
      <w:r>
        <w:rPr>
          <w:rFonts w:hint="eastAsia" w:ascii="仿宋_GB2312" w:eastAsia="仿宋_GB2312" w:cs="Times New Roman"/>
          <w:kern w:val="0"/>
          <w:sz w:val="32"/>
          <w:szCs w:val="32"/>
          <w:highlight w:val="none"/>
          <w:lang w:eastAsia="zh-CN"/>
        </w:rPr>
        <w:t>；</w:t>
      </w:r>
      <w:r>
        <w:rPr>
          <w:rFonts w:hint="eastAsia" w:ascii="仿宋_GB2312" w:eastAsia="仿宋_GB2312" w:cs="Times New Roman"/>
          <w:kern w:val="0"/>
          <w:sz w:val="32"/>
          <w:szCs w:val="32"/>
          <w:highlight w:val="none"/>
          <w:lang w:val="en-US" w:eastAsia="zh-CN"/>
        </w:rPr>
        <w:t>审定工资分配方案；</w:t>
      </w:r>
      <w:r>
        <w:rPr>
          <w:rFonts w:hint="eastAsia" w:ascii="仿宋_GB2312" w:hAnsi="Times New Roman" w:eastAsia="仿宋_GB2312" w:cs="Times New Roman"/>
          <w:kern w:val="0"/>
          <w:sz w:val="32"/>
          <w:szCs w:val="32"/>
          <w:highlight w:val="none"/>
        </w:rPr>
        <w:t>对绩效与薪酬管理的重大事项</w:t>
      </w:r>
      <w:r>
        <w:rPr>
          <w:rFonts w:hint="eastAsia" w:ascii="仿宋_GB2312" w:eastAsia="仿宋_GB2312" w:cs="Times New Roman"/>
          <w:kern w:val="0"/>
          <w:sz w:val="32"/>
          <w:szCs w:val="32"/>
          <w:highlight w:val="none"/>
          <w:lang w:val="en-US" w:eastAsia="zh-CN"/>
        </w:rPr>
        <w:t>作</w:t>
      </w:r>
      <w:r>
        <w:rPr>
          <w:rFonts w:hint="eastAsia" w:ascii="仿宋_GB2312" w:eastAsia="仿宋_GB2312" w:cs="Times New Roman"/>
          <w:kern w:val="0"/>
          <w:sz w:val="32"/>
          <w:szCs w:val="32"/>
          <w:highlight w:val="none"/>
          <w:lang w:eastAsia="zh-CN"/>
        </w:rPr>
        <w:t>出</w:t>
      </w:r>
      <w:r>
        <w:rPr>
          <w:rFonts w:hint="eastAsia" w:ascii="仿宋_GB2312" w:hAnsi="Times New Roman" w:eastAsia="仿宋_GB2312" w:cs="Times New Roman"/>
          <w:kern w:val="0"/>
          <w:sz w:val="32"/>
          <w:szCs w:val="32"/>
          <w:highlight w:val="none"/>
        </w:rPr>
        <w:t>决策等。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2.董事、监事、高级管理人员薪酬情况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鞍钢财务公司董事、监事均已在鞍钢集团及其下属企业领取职务薪酬，不额外在鞍钢财务公司领取工资、津贴等，具体薪酬标准按照其所在单位薪酬标准执行。</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核定高级管理人员2022年度薪酬总额为230.7万元，延期支付合计73.2万元。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八</w:t>
      </w:r>
      <w:r>
        <w:rPr>
          <w:rFonts w:hint="eastAsia" w:ascii="楷体_GB2312" w:hAnsi="楷体_GB2312" w:eastAsia="楷体_GB2312" w:cs="楷体_GB2312"/>
          <w:b/>
          <w:bCs/>
          <w:sz w:val="32"/>
          <w:szCs w:val="32"/>
          <w:highlight w:val="none"/>
        </w:rPr>
        <w:t>）部门设置</w:t>
      </w:r>
      <w:r>
        <w:rPr>
          <w:rFonts w:hint="eastAsia" w:ascii="楷体_GB2312" w:hAnsi="楷体_GB2312" w:eastAsia="楷体_GB2312" w:cs="楷体_GB2312"/>
          <w:b/>
          <w:bCs/>
          <w:sz w:val="32"/>
          <w:szCs w:val="32"/>
          <w:highlight w:val="none"/>
          <w:lang w:val="en-US" w:eastAsia="zh-CN"/>
        </w:rPr>
        <w:t>及分公司设置</w:t>
      </w:r>
      <w:r>
        <w:rPr>
          <w:rFonts w:hint="eastAsia" w:ascii="楷体_GB2312" w:hAnsi="楷体_GB2312" w:eastAsia="楷体_GB2312" w:cs="楷体_GB2312"/>
          <w:b/>
          <w:bCs/>
          <w:sz w:val="32"/>
          <w:szCs w:val="32"/>
          <w:highlight w:val="none"/>
        </w:rPr>
        <w:t>情况</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鞍钢财务公司</w:t>
      </w:r>
      <w:r>
        <w:rPr>
          <w:rFonts w:hint="eastAsia" w:ascii="仿宋_GB2312" w:hAnsi="仿宋_GB2312" w:eastAsia="仿宋_GB2312" w:cs="仿宋_GB2312"/>
          <w:sz w:val="32"/>
          <w:szCs w:val="32"/>
          <w:highlight w:val="none"/>
        </w:rPr>
        <w:t>设</w:t>
      </w:r>
      <w:r>
        <w:rPr>
          <w:rFonts w:hint="eastAsia" w:ascii="仿宋_GB2312" w:hAnsi="仿宋_GB2312" w:eastAsia="仿宋_GB2312" w:cs="仿宋_GB2312"/>
          <w:sz w:val="32"/>
          <w:szCs w:val="32"/>
          <w:highlight w:val="none"/>
          <w:lang w:val="en-US" w:eastAsia="zh-CN"/>
        </w:rPr>
        <w:t>有9个管理及业务部门，分别为党委工作部（综合管理部）、公司业务部、金融市场部、结算业务部、风险控制部（法律合规部）、金融科技部、财务管理部、审计稽核部（纪委、党政督查办）、住房资金管理部（代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鞍钢财务公司设有1个四川分公司，四川分公司下设6个部门，分别为综合管理部、公司业务部、结算业务部、风险控制部（法律合规部）、财务管理部、审计稽核部。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九</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公司治理情况的整体评价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健全的公司治理是防范化解重大风险、实现长期稳健发展的重要基础和保障，</w:t>
      </w:r>
      <w:r>
        <w:rPr>
          <w:rFonts w:hint="eastAsia" w:ascii="仿宋_GB2312" w:hAnsi="仿宋_GB2312" w:eastAsia="仿宋_GB2312" w:cs="仿宋_GB2312"/>
          <w:sz w:val="32"/>
          <w:szCs w:val="32"/>
          <w:highlight w:val="none"/>
          <w:lang w:val="en-US" w:eastAsia="zh-CN"/>
        </w:rPr>
        <w:t>鞍钢财务公司</w:t>
      </w:r>
      <w:r>
        <w:rPr>
          <w:rFonts w:hint="eastAsia" w:ascii="仿宋_GB2312" w:hAnsi="仿宋_GB2312" w:eastAsia="仿宋_GB2312" w:cs="仿宋_GB2312"/>
          <w:sz w:val="32"/>
          <w:szCs w:val="32"/>
          <w:highlight w:val="none"/>
        </w:rPr>
        <w:t>一直致力于完善内部治理结构，提升公司治理水平，按照《中华人民共和国公司法》《中华人民共和国商业银行法》《银行保险机构公司治理准则》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企业集团财务公司管理办法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等法律法规要求，结合</w:t>
      </w:r>
      <w:r>
        <w:rPr>
          <w:rFonts w:hint="eastAsia" w:ascii="仿宋_GB2312" w:hAnsi="仿宋_GB2312" w:eastAsia="仿宋_GB2312" w:cs="仿宋_GB2312"/>
          <w:sz w:val="32"/>
          <w:szCs w:val="32"/>
          <w:highlight w:val="none"/>
          <w:lang w:val="en-US" w:eastAsia="zh-CN"/>
        </w:rPr>
        <w:t>鞍钢财务公司</w:t>
      </w:r>
      <w:r>
        <w:rPr>
          <w:rFonts w:hint="eastAsia" w:ascii="仿宋_GB2312" w:hAnsi="仿宋_GB2312" w:eastAsia="仿宋_GB2312" w:cs="仿宋_GB2312"/>
          <w:sz w:val="32"/>
          <w:szCs w:val="32"/>
          <w:highlight w:val="none"/>
        </w:rPr>
        <w:t>的实际情况，逐步建立了严格的</w:t>
      </w:r>
      <w:r>
        <w:rPr>
          <w:rFonts w:hint="eastAsia" w:ascii="仿宋_GB2312" w:hAnsi="仿宋_GB2312" w:eastAsia="仿宋_GB2312" w:cs="仿宋_GB2312"/>
          <w:sz w:val="32"/>
          <w:szCs w:val="32"/>
          <w:highlight w:val="none"/>
          <w:lang w:val="zh-CN" w:eastAsia="zh-CN"/>
        </w:rPr>
        <w:t>“三会</w:t>
      </w:r>
      <w:r>
        <w:rPr>
          <w:rFonts w:hint="eastAsia" w:ascii="仿宋_GB2312" w:hAnsi="仿宋_GB2312" w:eastAsia="仿宋_GB2312" w:cs="仿宋_GB2312"/>
          <w:sz w:val="32"/>
          <w:szCs w:val="32"/>
          <w:highlight w:val="none"/>
        </w:rPr>
        <w:t>一层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运作制度及明晰的授权体系，同时也加强了内部制度建设，切实增强风险抵御能力和经营可持续性。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根据2022年公司治理工作整体情况评估，公司治理在党的领导、董监高</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、风险内控、激励约束机制等方面均取得了较好成效，公司治理整体上符合法律法规及监管规定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2023年，对股东治理、关联交易管理等方面工作进行了完善。2024年，鞍钢财务公司将在内部审计、内控评价、践行ESG公司治理理念等方面进一步加强管理，有效提升公司治理水平。</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rPr>
      </w:pPr>
      <w:bookmarkStart w:id="52" w:name="bookmark84"/>
      <w:bookmarkStart w:id="53" w:name="bookmark83"/>
      <w:bookmarkStart w:id="54" w:name="bookmark85"/>
      <w:bookmarkStart w:id="55" w:name="_Toc15173"/>
      <w:bookmarkStart w:id="56" w:name="bookmark82"/>
      <w:r>
        <w:rPr>
          <w:rFonts w:hint="eastAsia"/>
          <w:highlight w:val="none"/>
        </w:rPr>
        <w:t>三</w:t>
      </w:r>
      <w:bookmarkEnd w:id="52"/>
      <w:r>
        <w:rPr>
          <w:rFonts w:hint="eastAsia"/>
          <w:highlight w:val="none"/>
        </w:rPr>
        <w:t>、风险管理信息</w:t>
      </w:r>
      <w:bookmarkEnd w:id="53"/>
      <w:bookmarkEnd w:id="54"/>
      <w:bookmarkEnd w:id="55"/>
      <w:bookmarkEnd w:id="56"/>
    </w:p>
    <w:p>
      <w:pPr>
        <w:keepNext w:val="0"/>
        <w:keepLines w:val="0"/>
        <w:pageBreakBefore w:val="0"/>
        <w:widowControl/>
        <w:shd w:val="clear" w:color="auto" w:fill="auto"/>
        <w:kinsoku/>
        <w:wordWrap/>
        <w:overflowPunct/>
        <w:topLinePunct w:val="0"/>
        <w:autoSpaceDE/>
        <w:autoSpaceDN/>
        <w:bidi w:val="0"/>
        <w:adjustRightInd/>
        <w:snapToGrid w:val="0"/>
        <w:spacing w:before="0" w:after="0" w:line="560" w:lineRule="exact"/>
        <w:ind w:firstLine="640" w:firstLineChars="200"/>
        <w:jc w:val="left"/>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2023年，鞍钢财务公司以</w:t>
      </w:r>
      <w:r>
        <w:rPr>
          <w:rFonts w:hint="eastAsia" w:ascii="仿宋_GB2312" w:hAnsi="仿宋_GB2312" w:eastAsia="仿宋_GB2312" w:cs="仿宋_GB2312"/>
          <w:bCs/>
          <w:kern w:val="2"/>
          <w:sz w:val="32"/>
          <w:szCs w:val="32"/>
          <w:highlight w:val="none"/>
          <w:shd w:val="clear" w:fill="auto"/>
          <w:lang w:val="en-US" w:eastAsia="zh-CN" w:bidi="ar-SA"/>
        </w:rPr>
        <w:t>习近平</w:t>
      </w:r>
      <w:r>
        <w:rPr>
          <w:rFonts w:hint="eastAsia" w:ascii="仿宋_GB2312" w:hAnsi="仿宋_GB2312" w:eastAsia="仿宋_GB2312" w:cs="仿宋_GB2312"/>
          <w:bCs/>
          <w:kern w:val="2"/>
          <w:sz w:val="32"/>
          <w:szCs w:val="32"/>
          <w:highlight w:val="none"/>
          <w:lang w:val="en-US" w:eastAsia="zh-CN" w:bidi="ar-SA"/>
        </w:rPr>
        <w:t>新时代中国特色社会主义思想为指引，充分贯彻国务院国资委防范化解重大风险决策部署和鞍钢集团防范化解重大风险工作安排，以“强内控、防风险、促合规”为管控目标，形成全面、全员、全过程、全体系的风险防控机制，将风险管理纳入公司发展战略总体布局，充分发挥</w:t>
      </w:r>
      <w:r>
        <w:rPr>
          <w:rFonts w:hint="eastAsia" w:ascii="仿宋_GB2312" w:hAnsi="仿宋_GB2312" w:eastAsia="仿宋_GB2312" w:cs="仿宋_GB2312"/>
          <w:bCs/>
          <w:kern w:val="2"/>
          <w:sz w:val="32"/>
          <w:szCs w:val="32"/>
          <w:highlight w:val="none"/>
          <w:shd w:val="clear" w:fill="auto"/>
          <w:lang w:val="en-US" w:eastAsia="zh-CN" w:bidi="ar-SA"/>
        </w:rPr>
        <w:t>三</w:t>
      </w:r>
      <w:r>
        <w:rPr>
          <w:rFonts w:hint="eastAsia" w:ascii="仿宋_GB2312" w:hAnsi="仿宋_GB2312" w:eastAsia="仿宋_GB2312" w:cs="仿宋_GB2312"/>
          <w:bCs/>
          <w:kern w:val="2"/>
          <w:sz w:val="32"/>
          <w:szCs w:val="32"/>
          <w:highlight w:val="none"/>
          <w:lang w:val="en-US" w:eastAsia="zh-CN" w:bidi="ar-SA"/>
        </w:rPr>
        <w:t>会一层对全面风险管理的重要作用，全面落实风险管理“三道防线”管控机制。鞍钢财务</w:t>
      </w:r>
      <w:r>
        <w:rPr>
          <w:rFonts w:hint="eastAsia" w:ascii="仿宋_GB2312" w:hAnsi="宋体" w:eastAsia="仿宋_GB2312"/>
          <w:sz w:val="32"/>
          <w:szCs w:val="32"/>
          <w:highlight w:val="none"/>
        </w:rPr>
        <w:t>公司</w:t>
      </w:r>
      <w:r>
        <w:rPr>
          <w:rFonts w:hint="eastAsia" w:ascii="仿宋_GB2312" w:hAnsi="仿宋_GB2312" w:eastAsia="仿宋_GB2312" w:cs="仿宋_GB2312"/>
          <w:bCs/>
          <w:kern w:val="2"/>
          <w:sz w:val="32"/>
          <w:szCs w:val="32"/>
          <w:highlight w:val="none"/>
          <w:lang w:val="en-US" w:eastAsia="zh-CN" w:bidi="ar-SA"/>
        </w:rPr>
        <w:t>持续推进</w:t>
      </w:r>
      <w:r>
        <w:rPr>
          <w:rFonts w:hint="eastAsia" w:ascii="仿宋_GB2312" w:hAnsi="仿宋_GB2312" w:eastAsia="仿宋_GB2312" w:cs="仿宋_GB2312"/>
          <w:bCs/>
          <w:kern w:val="2"/>
          <w:sz w:val="32"/>
          <w:szCs w:val="32"/>
          <w:highlight w:val="none"/>
          <w:shd w:val="clear" w:fill="auto"/>
          <w:lang w:val="en-US" w:eastAsia="zh-CN" w:bidi="ar-SA"/>
        </w:rPr>
        <w:t>重大风险防范化解</w:t>
      </w:r>
      <w:r>
        <w:rPr>
          <w:rFonts w:hint="eastAsia" w:ascii="仿宋_GB2312" w:hAnsi="仿宋_GB2312" w:eastAsia="仿宋_GB2312" w:cs="仿宋_GB2312"/>
          <w:bCs/>
          <w:kern w:val="2"/>
          <w:sz w:val="32"/>
          <w:szCs w:val="32"/>
          <w:highlight w:val="none"/>
          <w:lang w:val="en-US" w:eastAsia="zh-CN" w:bidi="ar-SA"/>
        </w:rPr>
        <w:t>工作，坚守不发生系统性、颠覆性风险底线，2023年，鞍钢财务公司重大风险全面受控，无重大风险事件发生。</w:t>
      </w:r>
    </w:p>
    <w:p>
      <w:pPr>
        <w:pStyle w:val="13"/>
        <w:spacing w:line="560" w:lineRule="exact"/>
        <w:ind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一是严格控制重点领域信用风险</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lang w:val="en-US" w:eastAsia="zh-CN"/>
        </w:rPr>
        <w:t>充分</w:t>
      </w:r>
      <w:r>
        <w:rPr>
          <w:rFonts w:hint="eastAsia" w:ascii="仿宋_GB2312" w:hAnsi="仿宋_GB2312" w:eastAsia="仿宋_GB2312" w:cs="仿宋_GB2312"/>
          <w:sz w:val="32"/>
          <w:szCs w:val="32"/>
          <w:highlight w:val="none"/>
        </w:rPr>
        <w:t>贯彻执行资产风险分类相关规定，</w:t>
      </w:r>
      <w:r>
        <w:rPr>
          <w:rFonts w:hint="eastAsia" w:ascii="仿宋_GB2312" w:hAnsi="仿宋_GB2312" w:eastAsia="仿宋_GB2312" w:cs="仿宋_GB2312"/>
          <w:sz w:val="32"/>
          <w:szCs w:val="32"/>
          <w:highlight w:val="none"/>
          <w:lang w:val="en-US" w:eastAsia="zh-CN"/>
        </w:rPr>
        <w:t>不断</w:t>
      </w:r>
      <w:r>
        <w:rPr>
          <w:rFonts w:hint="eastAsia" w:ascii="仿宋_GB2312" w:hAnsi="仿宋_GB2312" w:eastAsia="仿宋_GB2312" w:cs="仿宋_GB2312"/>
          <w:sz w:val="32"/>
          <w:szCs w:val="32"/>
          <w:highlight w:val="none"/>
        </w:rPr>
        <w:t>提升信贷业务全流程风险</w:t>
      </w:r>
      <w:r>
        <w:rPr>
          <w:rFonts w:hint="eastAsia" w:ascii="仿宋_GB2312" w:hAnsi="仿宋_GB2312" w:eastAsia="仿宋_GB2312" w:cs="仿宋_GB2312"/>
          <w:sz w:val="32"/>
          <w:szCs w:val="32"/>
          <w:highlight w:val="none"/>
          <w:lang w:val="en-US" w:eastAsia="zh-CN"/>
        </w:rPr>
        <w:t>管</w:t>
      </w:r>
      <w:r>
        <w:rPr>
          <w:rFonts w:hint="eastAsia" w:ascii="仿宋_GB2312" w:hAnsi="仿宋_GB2312" w:eastAsia="仿宋_GB2312" w:cs="仿宋_GB2312"/>
          <w:sz w:val="32"/>
          <w:szCs w:val="32"/>
          <w:highlight w:val="none"/>
        </w:rPr>
        <w:t>控与监督水平，</w:t>
      </w:r>
      <w:r>
        <w:rPr>
          <w:rFonts w:hint="eastAsia" w:ascii="仿宋_GB2312" w:hAnsi="仿宋_GB2312" w:eastAsia="仿宋_GB2312" w:cs="仿宋_GB2312"/>
          <w:sz w:val="32"/>
          <w:szCs w:val="32"/>
          <w:highlight w:val="none"/>
          <w:lang w:val="en-US" w:eastAsia="zh-CN"/>
        </w:rPr>
        <w:t>切实</w:t>
      </w:r>
      <w:r>
        <w:rPr>
          <w:rFonts w:hint="eastAsia" w:ascii="仿宋_GB2312" w:hAnsi="仿宋_GB2312" w:eastAsia="仿宋_GB2312" w:cs="仿宋_GB2312"/>
          <w:sz w:val="32"/>
          <w:szCs w:val="32"/>
          <w:highlight w:val="none"/>
        </w:rPr>
        <w:t>强化信用风险管理。截至202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kern w:val="2"/>
          <w:sz w:val="32"/>
          <w:szCs w:val="32"/>
          <w:highlight w:val="none"/>
          <w:lang w:val="en-US" w:eastAsia="zh-CN" w:bidi="ar-SA"/>
        </w:rPr>
        <w:t>鞍钢财务</w:t>
      </w:r>
      <w:r>
        <w:rPr>
          <w:rFonts w:hint="eastAsia" w:ascii="仿宋_GB2312" w:hAnsi="仿宋_GB2312" w:eastAsia="仿宋_GB2312" w:cs="仿宋_GB2312"/>
          <w:sz w:val="32"/>
          <w:szCs w:val="32"/>
          <w:highlight w:val="none"/>
        </w:rPr>
        <w:t>公司不良资产率</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lang w:val="en-US" w:eastAsia="en-US"/>
        </w:rPr>
        <w:t>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信用风险可控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b/>
          <w:bCs/>
          <w:sz w:val="32"/>
          <w:szCs w:val="32"/>
          <w:highlight w:val="none"/>
          <w:lang w:val="en-US" w:eastAsia="zh-CN"/>
        </w:rPr>
        <w:t>强化流动性风险管控。</w:t>
      </w:r>
      <w:r>
        <w:rPr>
          <w:rFonts w:hint="eastAsia" w:ascii="仿宋_GB2312" w:hAnsi="仿宋_GB2312" w:eastAsia="仿宋_GB2312" w:cs="仿宋_GB2312"/>
          <w:sz w:val="32"/>
          <w:szCs w:val="32"/>
          <w:highlight w:val="none"/>
          <w:lang w:val="en-US" w:eastAsia="zh-CN"/>
        </w:rPr>
        <w:t>严格按照</w:t>
      </w:r>
      <w:r>
        <w:rPr>
          <w:rFonts w:hint="eastAsia" w:ascii="仿宋_GB2312" w:hAnsi="仿宋_GB2312" w:eastAsia="仿宋_GB2312" w:cs="仿宋_GB2312"/>
          <w:sz w:val="32"/>
          <w:szCs w:val="32"/>
          <w:highlight w:val="none"/>
        </w:rPr>
        <w:t>金融监管政策</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制定与自身</w:t>
      </w:r>
      <w:r>
        <w:rPr>
          <w:rFonts w:hint="eastAsia" w:ascii="仿宋_GB2312" w:hAnsi="仿宋_GB2312" w:eastAsia="仿宋_GB2312" w:cs="仿宋_GB2312"/>
          <w:sz w:val="32"/>
          <w:szCs w:val="32"/>
          <w:highlight w:val="none"/>
          <w:lang w:val="en-US" w:eastAsia="zh-CN"/>
        </w:rPr>
        <w:t>经营特点</w:t>
      </w:r>
      <w:r>
        <w:rPr>
          <w:rFonts w:hint="eastAsia" w:ascii="仿宋_GB2312" w:hAnsi="仿宋_GB2312" w:eastAsia="仿宋_GB2312" w:cs="仿宋_GB2312"/>
          <w:sz w:val="32"/>
          <w:szCs w:val="32"/>
          <w:highlight w:val="none"/>
        </w:rPr>
        <w:t>相适应的流动性管理策略，</w:t>
      </w:r>
      <w:r>
        <w:rPr>
          <w:rFonts w:hint="eastAsia" w:ascii="仿宋_GB2312" w:hAnsi="仿宋_GB2312" w:eastAsia="仿宋_GB2312" w:cs="仿宋_GB2312"/>
          <w:sz w:val="32"/>
          <w:szCs w:val="32"/>
          <w:highlight w:val="none"/>
          <w:lang w:val="en-US" w:eastAsia="zh-CN"/>
        </w:rPr>
        <w:t>并按照既定工作职责与管理权限组织实施，</w:t>
      </w:r>
      <w:r>
        <w:rPr>
          <w:rFonts w:hint="eastAsia" w:ascii="仿宋_GB2312" w:hAnsi="仿宋_GB2312" w:eastAsia="仿宋_GB2312" w:cs="仿宋_GB2312"/>
          <w:sz w:val="32"/>
          <w:szCs w:val="32"/>
          <w:highlight w:val="none"/>
        </w:rPr>
        <w:t>保持</w:t>
      </w:r>
      <w:r>
        <w:rPr>
          <w:rFonts w:hint="eastAsia" w:ascii="仿宋_GB2312" w:hAnsi="仿宋_GB2312" w:eastAsia="仿宋_GB2312" w:cs="仿宋_GB2312"/>
          <w:sz w:val="32"/>
          <w:szCs w:val="32"/>
          <w:highlight w:val="none"/>
          <w:lang w:val="en-US" w:eastAsia="zh-CN"/>
        </w:rPr>
        <w:t>良好的</w:t>
      </w:r>
      <w:r>
        <w:rPr>
          <w:rFonts w:hint="eastAsia" w:ascii="仿宋_GB2312" w:hAnsi="仿宋_GB2312" w:eastAsia="仿宋_GB2312" w:cs="仿宋_GB2312"/>
          <w:sz w:val="32"/>
          <w:szCs w:val="32"/>
          <w:highlight w:val="none"/>
        </w:rPr>
        <w:t>流动性水平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kern w:val="2"/>
          <w:sz w:val="32"/>
          <w:szCs w:val="32"/>
          <w:highlight w:val="none"/>
          <w:lang w:val="en-US" w:eastAsia="zh-CN" w:bidi="ar-SA"/>
        </w:rPr>
        <w:t>鞍钢财务</w:t>
      </w:r>
      <w:r>
        <w:rPr>
          <w:rFonts w:hint="eastAsia" w:ascii="仿宋_GB2312" w:hAnsi="仿宋_GB2312" w:eastAsia="仿宋_GB2312" w:cs="仿宋_GB2312"/>
          <w:sz w:val="32"/>
          <w:szCs w:val="32"/>
          <w:highlight w:val="none"/>
        </w:rPr>
        <w:t>公司流动性比例达5</w:t>
      </w:r>
      <w:r>
        <w:rPr>
          <w:rFonts w:hint="eastAsia" w:ascii="仿宋_GB2312" w:hAnsi="仿宋_GB2312" w:eastAsia="仿宋_GB2312" w:cs="仿宋_GB2312"/>
          <w:sz w:val="32"/>
          <w:szCs w:val="32"/>
          <w:highlight w:val="none"/>
          <w:lang w:eastAsia="zh-CN"/>
        </w:rPr>
        <w:t>7</w:t>
      </w:r>
      <w:r>
        <w:rPr>
          <w:rFonts w:hint="eastAsia" w:ascii="仿宋_GB2312" w:hAnsi="仿宋_GB2312" w:eastAsia="仿宋_GB2312" w:cs="仿宋_GB2312"/>
          <w:sz w:val="32"/>
          <w:szCs w:val="32"/>
          <w:highlight w:val="none"/>
        </w:rPr>
        <w:t>%，流动性监管指标达标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color w:val="auto"/>
          <w:sz w:val="32"/>
          <w:szCs w:val="32"/>
          <w:highlight w:val="none"/>
        </w:rPr>
        <w:t>三是以稳健为导向开展投资业务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严格按照</w:t>
      </w:r>
      <w:r>
        <w:rPr>
          <w:rFonts w:hint="eastAsia" w:ascii="仿宋_GB2312" w:hAnsi="仿宋_GB2312" w:eastAsia="仿宋_GB2312" w:cs="仿宋_GB2312"/>
          <w:bCs/>
          <w:kern w:val="2"/>
          <w:sz w:val="32"/>
          <w:szCs w:val="32"/>
          <w:highlight w:val="none"/>
          <w:lang w:val="en-US" w:eastAsia="zh-CN" w:bidi="ar-SA"/>
        </w:rPr>
        <w:t>鞍钢财务</w:t>
      </w:r>
      <w:r>
        <w:rPr>
          <w:rFonts w:hint="eastAsia" w:ascii="仿宋_GB2312" w:hAnsi="仿宋_GB2312" w:eastAsia="仿宋_GB2312" w:cs="仿宋_GB2312"/>
          <w:color w:val="auto"/>
          <w:sz w:val="32"/>
          <w:szCs w:val="32"/>
          <w:highlight w:val="none"/>
          <w:lang w:val="en-US" w:eastAsia="zh-CN"/>
        </w:rPr>
        <w:t>公司内控制度及相关管理规定开展固定收益类投资业务，主要投资投向品种为利率债和高等级（AAA级）信用债等安全性较高的品种，</w:t>
      </w:r>
      <w:r>
        <w:rPr>
          <w:rFonts w:hint="eastAsia" w:ascii="仿宋_GB2312" w:hAnsi="Times New Roman" w:eastAsia="仿宋_GB2312" w:cs="Times New Roman"/>
          <w:color w:val="auto"/>
          <w:sz w:val="32"/>
          <w:szCs w:val="22"/>
          <w:highlight w:val="none"/>
        </w:rPr>
        <w:t>严格控制投资品种限额，同时分散投资构建投资组合，以控制投资整体风险。</w:t>
      </w:r>
      <w:r>
        <w:rPr>
          <w:rFonts w:hint="eastAsia" w:ascii="仿宋_GB2312" w:hAnsi="仿宋_GB2312" w:eastAsia="仿宋_GB2312" w:cs="仿宋_GB2312"/>
          <w:b/>
          <w:bCs/>
          <w:sz w:val="32"/>
          <w:szCs w:val="32"/>
          <w:highlight w:val="none"/>
        </w:rPr>
        <w:t>四是持续完善操作风险</w:t>
      </w:r>
      <w:r>
        <w:rPr>
          <w:rFonts w:hint="eastAsia" w:ascii="仿宋_GB2312" w:hAnsi="仿宋_GB2312" w:eastAsia="仿宋_GB2312" w:cs="仿宋_GB2312"/>
          <w:b/>
          <w:bCs/>
          <w:sz w:val="32"/>
          <w:szCs w:val="32"/>
          <w:highlight w:val="none"/>
          <w:lang w:val="en-US" w:eastAsia="zh-CN"/>
        </w:rPr>
        <w:t>管理机制。</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bCs/>
          <w:kern w:val="2"/>
          <w:sz w:val="32"/>
          <w:szCs w:val="32"/>
          <w:highlight w:val="none"/>
          <w:lang w:val="en-US" w:eastAsia="zh-CN" w:bidi="ar-SA"/>
        </w:rPr>
        <w:t>鞍钢财务</w:t>
      </w:r>
      <w:r>
        <w:rPr>
          <w:rFonts w:hint="eastAsia" w:ascii="仿宋_GB2312" w:hAnsi="仿宋_GB2312" w:eastAsia="仿宋_GB2312" w:cs="仿宋_GB2312"/>
          <w:sz w:val="32"/>
          <w:szCs w:val="32"/>
          <w:highlight w:val="none"/>
          <w:lang w:val="en-US" w:eastAsia="zh-CN"/>
        </w:rPr>
        <w:t>公司授权管理办法，强化总公司对分公司、董事长对总经理等授权委托书管理；</w:t>
      </w:r>
      <w:r>
        <w:rPr>
          <w:rFonts w:hint="eastAsia" w:ascii="仿宋_GB2312" w:hAnsi="仿宋_GB2312" w:eastAsia="仿宋_GB2312" w:cs="仿宋_GB2312"/>
          <w:b w:val="0"/>
          <w:bCs w:val="0"/>
          <w:color w:val="000000"/>
          <w:sz w:val="32"/>
          <w:szCs w:val="32"/>
          <w:highlight w:val="none"/>
          <w:lang w:val="en-US" w:eastAsia="zh-CN"/>
        </w:rPr>
        <w:t>贯彻员工从业行为规范，严抓重要岗位关键人员履职责任</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b/>
          <w:bCs/>
          <w:sz w:val="32"/>
          <w:szCs w:val="32"/>
          <w:highlight w:val="none"/>
        </w:rPr>
        <w:t>五是强化信息科技风险管理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lang w:val="en-US" w:eastAsia="zh-CN"/>
        </w:rPr>
        <w:t>制定并落实</w:t>
      </w:r>
      <w:r>
        <w:rPr>
          <w:rFonts w:hint="eastAsia" w:ascii="仿宋_GB2312" w:hAnsi="仿宋_GB2312" w:eastAsia="仿宋_GB2312" w:cs="仿宋_GB2312"/>
          <w:b w:val="0"/>
          <w:bCs w:val="0"/>
          <w:color w:val="000000"/>
          <w:sz w:val="32"/>
          <w:szCs w:val="32"/>
          <w:highlight w:val="none"/>
        </w:rPr>
        <w:t>信息系统安全</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sz w:val="32"/>
          <w:szCs w:val="32"/>
        </w:rPr>
        <w:t>金融科技外包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业务连续性</w:t>
      </w:r>
      <w:r>
        <w:rPr>
          <w:rFonts w:hint="eastAsia" w:ascii="仿宋_GB2312" w:hAnsi="仿宋_GB2312" w:eastAsia="仿宋_GB2312" w:cs="仿宋_GB2312"/>
          <w:b w:val="0"/>
          <w:bCs w:val="0"/>
          <w:sz w:val="32"/>
          <w:szCs w:val="32"/>
          <w:lang w:val="en-US" w:eastAsia="zh-CN"/>
        </w:rPr>
        <w:t>风险防控解决措施。</w:t>
      </w:r>
      <w:r>
        <w:rPr>
          <w:rFonts w:hint="eastAsia" w:ascii="仿宋_GB2312" w:hAnsi="仿宋_GB2312" w:eastAsia="仿宋_GB2312" w:cs="仿宋_GB2312"/>
          <w:b/>
          <w:bCs/>
          <w:sz w:val="32"/>
          <w:szCs w:val="32"/>
          <w:highlight w:val="none"/>
        </w:rPr>
        <w:t>六是</w:t>
      </w:r>
      <w:r>
        <w:rPr>
          <w:rFonts w:hint="eastAsia" w:ascii="仿宋_GB2312" w:hAnsi="仿宋_GB2312" w:eastAsia="仿宋_GB2312" w:cs="仿宋_GB2312"/>
          <w:b/>
          <w:bCs/>
          <w:color w:val="000000"/>
          <w:sz w:val="32"/>
          <w:szCs w:val="32"/>
          <w:highlight w:val="none"/>
          <w:lang w:val="en-US" w:eastAsia="zh-CN"/>
        </w:rPr>
        <w:t>深化合规管理体系建设，推动风险内控合规一体化运行。</w:t>
      </w:r>
      <w:r>
        <w:rPr>
          <w:rFonts w:hint="eastAsia" w:ascii="仿宋_GB2312" w:hAnsi="Times New Roman" w:eastAsia="仿宋_GB2312" w:cs="Times New Roman"/>
          <w:sz w:val="32"/>
          <w:szCs w:val="22"/>
          <w:highlight w:val="none"/>
        </w:rPr>
        <w:t>强化“三道防线”运行机制，</w:t>
      </w:r>
      <w:r>
        <w:rPr>
          <w:rFonts w:hint="eastAsia" w:ascii="仿宋_GB2312" w:hAnsi="仿宋_GB2312" w:eastAsia="仿宋_GB2312" w:cs="仿宋_GB2312"/>
          <w:color w:val="000000"/>
          <w:sz w:val="32"/>
          <w:szCs w:val="32"/>
          <w:highlight w:val="none"/>
          <w:lang w:val="en-US" w:eastAsia="zh-CN"/>
        </w:rPr>
        <w:t>稳步运行重大风险监测报告、风险预警监测指标机制。</w:t>
      </w:r>
      <w:r>
        <w:rPr>
          <w:rFonts w:hint="eastAsia" w:ascii="仿宋_GB2312" w:hAnsi="仿宋_GB2312" w:eastAsia="仿宋_GB2312" w:cs="仿宋_GB2312"/>
          <w:b/>
          <w:bCs/>
          <w:sz w:val="32"/>
          <w:szCs w:val="32"/>
          <w:highlight w:val="none"/>
        </w:rPr>
        <w:t>七是按照</w:t>
      </w:r>
      <w:r>
        <w:rPr>
          <w:rFonts w:hint="eastAsia" w:ascii="仿宋_GB2312" w:hAnsi="仿宋_GB2312" w:eastAsia="仿宋_GB2312" w:cs="仿宋_GB2312"/>
          <w:b/>
          <w:bCs/>
          <w:sz w:val="32"/>
          <w:szCs w:val="32"/>
          <w:highlight w:val="none"/>
          <w:lang w:val="zh-CN" w:eastAsia="zh-CN"/>
        </w:rPr>
        <w:t>“预防</w:t>
      </w:r>
      <w:r>
        <w:rPr>
          <w:rFonts w:hint="eastAsia" w:ascii="仿宋_GB2312" w:hAnsi="仿宋_GB2312" w:eastAsia="仿宋_GB2312" w:cs="仿宋_GB2312"/>
          <w:b/>
          <w:bCs/>
          <w:sz w:val="32"/>
          <w:szCs w:val="32"/>
          <w:highlight w:val="none"/>
        </w:rPr>
        <w:t>为主、重点防范”的原则，</w:t>
      </w:r>
      <w:r>
        <w:rPr>
          <w:rFonts w:hint="eastAsia" w:ascii="仿宋_GB2312" w:hAnsi="仿宋_GB2312" w:eastAsia="仿宋_GB2312" w:cs="仿宋_GB2312"/>
          <w:b/>
          <w:bCs/>
          <w:sz w:val="32"/>
          <w:szCs w:val="32"/>
          <w:highlight w:val="none"/>
          <w:lang w:val="en-US" w:eastAsia="zh-CN"/>
        </w:rPr>
        <w:t>防范</w:t>
      </w:r>
      <w:r>
        <w:rPr>
          <w:rFonts w:hint="eastAsia" w:ascii="仿宋_GB2312" w:hAnsi="仿宋_GB2312" w:eastAsia="仿宋_GB2312" w:cs="仿宋_GB2312"/>
          <w:b/>
          <w:bCs/>
          <w:sz w:val="32"/>
          <w:szCs w:val="32"/>
          <w:highlight w:val="none"/>
        </w:rPr>
        <w:t>声誉风险</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八是</w:t>
      </w:r>
      <w:r>
        <w:rPr>
          <w:rFonts w:hint="eastAsia" w:ascii="仿宋_GB2312" w:hAnsi="仿宋_GB2312" w:eastAsia="仿宋_GB2312" w:cs="仿宋_GB2312"/>
          <w:b/>
          <w:bCs/>
          <w:i w:val="0"/>
          <w:iCs w:val="0"/>
          <w:caps w:val="0"/>
          <w:color w:val="auto"/>
          <w:spacing w:val="0"/>
          <w:kern w:val="2"/>
          <w:sz w:val="32"/>
          <w:szCs w:val="32"/>
          <w:highlight w:val="none"/>
          <w:shd w:val="clear" w:fill="FFFFFF"/>
          <w:lang w:val="en-US" w:eastAsia="zh-CN" w:bidi="ar-SA"/>
        </w:rPr>
        <w:t>积极落实人民银行反洗钱工作要求。</w:t>
      </w: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完成反洗钱年度工作报告，组织相关部门开展洗钱风险自评估工作，</w:t>
      </w:r>
      <w:r>
        <w:rPr>
          <w:rFonts w:hint="eastAsia" w:ascii="仿宋_GB2312" w:hAnsi="仿宋_GB2312" w:eastAsia="仿宋_GB2312" w:cs="仿宋_GB2312"/>
          <w:b w:val="0"/>
          <w:bCs w:val="0"/>
          <w:kern w:val="2"/>
          <w:sz w:val="32"/>
          <w:szCs w:val="32"/>
          <w:highlight w:val="none"/>
          <w:lang w:val="en-US" w:eastAsia="zh-CN" w:bidi="ar-SA"/>
        </w:rPr>
        <w:t>进行反洗钱最新法律法规、基础知识以及经典案例宣传，深刻揭示洗钱风险及违法犯罪活动危害性。</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rPr>
      </w:pPr>
      <w:bookmarkStart w:id="57" w:name="bookmark88"/>
      <w:bookmarkStart w:id="58" w:name="_Toc7676"/>
      <w:bookmarkStart w:id="59" w:name="bookmark89"/>
      <w:bookmarkStart w:id="60" w:name="bookmark86"/>
      <w:bookmarkStart w:id="61" w:name="bookmark87"/>
      <w:r>
        <w:rPr>
          <w:rFonts w:hint="eastAsia"/>
          <w:highlight w:val="none"/>
        </w:rPr>
        <w:t>四</w:t>
      </w:r>
      <w:bookmarkEnd w:id="57"/>
      <w:r>
        <w:rPr>
          <w:rFonts w:hint="eastAsia"/>
          <w:highlight w:val="none"/>
        </w:rPr>
        <w:t>、重大事项信息</w:t>
      </w:r>
      <w:bookmarkEnd w:id="58"/>
      <w:bookmarkEnd w:id="59"/>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sz w:val="32"/>
          <w:szCs w:val="32"/>
          <w:highlight w:val="none"/>
        </w:rPr>
      </w:pPr>
      <w:bookmarkStart w:id="62" w:name="bookmark90"/>
      <w:r>
        <w:rPr>
          <w:rFonts w:hint="eastAsia" w:ascii="楷体_GB2312" w:hAnsi="楷体_GB2312" w:eastAsia="楷体_GB2312" w:cs="楷体_GB2312"/>
          <w:b/>
          <w:bCs/>
          <w:sz w:val="32"/>
          <w:szCs w:val="32"/>
          <w:highlight w:val="none"/>
        </w:rPr>
        <w:t>（一）</w:t>
      </w:r>
      <w:r>
        <w:rPr>
          <w:rFonts w:hint="eastAsia" w:ascii="楷体_GB2312" w:hAnsi="楷体_GB2312" w:eastAsia="楷体_GB2312" w:cs="楷体_GB2312"/>
          <w:b/>
          <w:bCs/>
          <w:sz w:val="32"/>
          <w:szCs w:val="32"/>
          <w:highlight w:val="none"/>
          <w:lang w:val="en-US" w:eastAsia="zh-CN"/>
        </w:rPr>
        <w:t>董事</w:t>
      </w:r>
      <w:r>
        <w:rPr>
          <w:rFonts w:hint="eastAsia" w:ascii="楷体_GB2312" w:hAnsi="楷体_GB2312" w:eastAsia="楷体_GB2312" w:cs="楷体_GB2312"/>
          <w:b/>
          <w:bCs/>
          <w:sz w:val="32"/>
          <w:szCs w:val="32"/>
          <w:highlight w:val="none"/>
        </w:rPr>
        <w:t>变更</w:t>
      </w:r>
      <w:bookmarkEnd w:id="60"/>
      <w:bookmarkEnd w:id="61"/>
      <w:bookmarkEnd w:id="62"/>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1.</w:t>
      </w:r>
      <w:r>
        <w:rPr>
          <w:rFonts w:hint="eastAsia" w:ascii="仿宋_GB2312" w:hAnsi="Tahoma" w:eastAsia="仿宋_GB2312" w:cs="Tahoma"/>
          <w:b w:val="0"/>
          <w:bCs/>
          <w:snapToGrid w:val="0"/>
          <w:kern w:val="0"/>
          <w:sz w:val="32"/>
          <w:szCs w:val="32"/>
          <w:highlight w:val="none"/>
          <w:lang w:val="en-US" w:eastAsia="zh-CN"/>
        </w:rPr>
        <w:t>2023年7月10日，中国银行保险监督管理委员会辽宁监管局核准贾文军鞍钢财务公司董事任职资格。</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t>2.</w:t>
      </w:r>
      <w:r>
        <w:rPr>
          <w:rFonts w:hint="eastAsia" w:ascii="仿宋_GB2312" w:hAnsi="Tahoma" w:eastAsia="仿宋_GB2312" w:cs="Tahoma"/>
          <w:b w:val="0"/>
          <w:bCs/>
          <w:snapToGrid w:val="0"/>
          <w:kern w:val="0"/>
          <w:sz w:val="32"/>
          <w:szCs w:val="32"/>
          <w:highlight w:val="none"/>
          <w:lang w:val="en-US" w:eastAsia="zh-CN"/>
        </w:rPr>
        <w:t>2023年7月10日，中国银行保险监督管理委员会辽宁监管局核准王阿惠鞍钢财务公司董事任职资格。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en-US"/>
        </w:rPr>
        <w:t>.</w:t>
      </w:r>
      <w:r>
        <w:rPr>
          <w:rFonts w:hint="eastAsia" w:ascii="仿宋_GB2312" w:hAnsi="Tahoma" w:eastAsia="仿宋_GB2312" w:cs="Tahoma"/>
          <w:b w:val="0"/>
          <w:bCs/>
          <w:snapToGrid w:val="0"/>
          <w:kern w:val="0"/>
          <w:sz w:val="32"/>
          <w:szCs w:val="32"/>
          <w:highlight w:val="none"/>
          <w:lang w:val="en-US" w:eastAsia="zh-CN"/>
        </w:rPr>
        <w:t>2023年7月11日，中国银行保险监督管理委员会辽宁监管局核准董德新鞍钢财务公司董事任职资格。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经营范围变更</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根据《企业集团财务公司管理办法》（银保监会令2022年第6号）以及《中国银保监会办公厅关于做好</w:t>
      </w:r>
      <w:r>
        <w:rPr>
          <w:rFonts w:hint="eastAsia"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w:t>
      </w: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企业集团财务公司管理办法</w:t>
      </w:r>
      <w:r>
        <w:rPr>
          <w:rFonts w:hint="eastAsia"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w:t>
      </w: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实施工作的通知》（银保监办发〔2022〕95号）要求，鞍钢财务公司</w:t>
      </w:r>
      <w:r>
        <w:rPr>
          <w:rFonts w:hint="eastAsia"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变更经营范围，并</w:t>
      </w: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已换发新版金融许可证</w:t>
      </w:r>
      <w:r>
        <w:rPr>
          <w:rFonts w:hint="eastAsia"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变更后的</w:t>
      </w: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业务范围</w:t>
      </w:r>
      <w:r>
        <w:rPr>
          <w:rFonts w:hint="eastAsia"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如下</w:t>
      </w: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（一）吸收成员单位存款；</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（二）办理成员单位贷款；</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（三）办理成员单位票据贴现；</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（四）办理成员单位资金结算与收付；</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（五）提供成员单位委托贷款、债券承销、非融资性保函、财务顾问、信用鉴证及咨询代理业务；</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（六）从事同业拆借；</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（七）办理成员单位票据承兑；</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（八）从事固定收益类有价证券投资；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（九）对成员单位办理融资租赁业务</w:t>
      </w:r>
      <w:r>
        <w:rPr>
          <w:rFonts w:hint="eastAsia"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ahoma" w:eastAsia="仿宋_GB2312" w:cs="Tahoma"/>
          <w:b w:val="0"/>
          <w:bCs/>
          <w:snapToGrid w:val="0"/>
          <w:color w:val="000000"/>
          <w:spacing w:val="0"/>
          <w:w w:val="100"/>
          <w:kern w:val="0"/>
          <w:position w:val="0"/>
          <w:sz w:val="32"/>
          <w:szCs w:val="32"/>
          <w:highlight w:val="none"/>
          <w:shd w:val="clear" w:color="auto" w:fill="auto"/>
          <w:lang w:val="en-US" w:eastAsia="zh-CN" w:bidi="en-US"/>
        </w:rPr>
      </w:pPr>
      <w:r>
        <w:rPr>
          <w:rFonts w:hint="eastAsia" w:ascii="仿宋_GB2312" w:hAnsi="仿宋_GB2312" w:eastAsia="仿宋_GB2312" w:cs="仿宋_GB2312"/>
          <w:sz w:val="32"/>
          <w:szCs w:val="32"/>
          <w:highlight w:val="none"/>
          <w:lang w:val="en-US" w:eastAsia="zh-CN"/>
        </w:rPr>
        <w:t>（十）国家金融监督管理总局批准的其他业务。</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default"/>
          <w:highlight w:val="none"/>
          <w:lang w:val="en-US" w:eastAsia="zh-CN"/>
        </w:rPr>
      </w:pPr>
      <w:bookmarkStart w:id="63" w:name="_Toc30083"/>
      <w:r>
        <w:rPr>
          <w:rFonts w:hint="eastAsia"/>
          <w:highlight w:val="none"/>
          <w:lang w:val="en-US" w:eastAsia="zh-CN"/>
        </w:rPr>
        <w:t>五、关联交易信息</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outlineLvl w:val="5"/>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（一）关联股东情况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仿宋_GB2312" w:hAnsi="等线" w:eastAsia="仿宋_GB2312" w:cs="黑体"/>
          <w:sz w:val="32"/>
          <w:szCs w:val="32"/>
          <w:lang w:val="en-US" w:eastAsia="zh-CN"/>
        </w:rPr>
        <w:t>鞍钢财务公司共有关联股东单位3家，分别为鞍钢集团、鞍钢股份和钒钛股份。出资金额及比例如下表：</w:t>
      </w:r>
      <w:r>
        <w:rPr>
          <w:rFonts w:hint="default" w:ascii="仿宋_GB2312" w:hAnsi="等线" w:eastAsia="仿宋_GB2312" w:cs="黑体"/>
          <w:sz w:val="32"/>
          <w:szCs w:val="32"/>
          <w:lang w:val="en-US" w:eastAsia="zh-CN"/>
        </w:rPr>
        <w:t xml:space="preserve">                        </w:t>
      </w:r>
    </w:p>
    <w:tbl>
      <w:tblPr>
        <w:tblStyle w:val="10"/>
        <w:tblW w:w="8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3664"/>
        <w:gridCol w:w="2246"/>
        <w:gridCol w:w="1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股东</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出资金额（万元）</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鞍钢集团有限公司</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350,000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鞍钢股份有限公司</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攀钢集团钒钛资源股份有限公司</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4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合计</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500,000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r>
    </w:tbl>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firstLine="643" w:firstLineChars="200"/>
        <w:jc w:val="both"/>
        <w:textAlignment w:val="auto"/>
        <w:outlineLvl w:val="5"/>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（二）公司2023年度经营情况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2023年末，公司</w:t>
      </w:r>
      <w:r>
        <w:rPr>
          <w:rFonts w:hint="eastAsia" w:ascii="仿宋_GB2312" w:hAnsi="仿宋_GB2312" w:eastAsia="仿宋_GB2312" w:cs="仿宋_GB2312"/>
          <w:sz w:val="32"/>
          <w:szCs w:val="32"/>
          <w:lang w:val="en-US" w:eastAsia="zh-CN"/>
        </w:rPr>
        <w:t>总资产379.92亿元，同比增加20.65亿元，增幅5.75%；负债总额299.20亿元，同比增加16.32亿元，增幅5.77%；所有者权益总额80.71亿元，同比增加4.32亿元，增幅5.66%。营业收入10.16亿元，同比减少9.19%，利润总额共计5.77亿元，同比增加1.57%，实现净利润4.32亿元，同比增长1.04%。（以上为审计后数据）。</w:t>
      </w:r>
    </w:p>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firstLine="643" w:firstLineChars="200"/>
        <w:jc w:val="both"/>
        <w:textAlignment w:val="auto"/>
        <w:outlineLvl w:val="5"/>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（三）成员单位业务情况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1.截至2023年末，鞍钢集团及下属单位（包括上市公司）在公司存款余额为296.2亿元，贷款（含贴现）余额为220.29亿元。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2.公司与上市公司成员单位业务情况。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（1）公司已与鞍钢股份签订2022-2024年《金融服务协议》，按照《金融服务协议》规定，公司可为鞍钢股份提供存款服务、结算服务、综合授信服务及其他金融服务。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截至2023年末，鞍钢股份及下属单位在公司存款余额为24.85亿</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lang w:val="en-US" w:eastAsia="zh-CN"/>
        </w:rPr>
        <w:t>在公司贷款（含贴现）余额为2亿</w:t>
      </w:r>
      <w:r>
        <w:rPr>
          <w:rFonts w:hint="eastAsia" w:ascii="仿宋_GB2312" w:hAnsi="仿宋_GB2312" w:eastAsia="仿宋_GB2312" w:cs="仿宋_GB2312"/>
          <w:sz w:val="32"/>
          <w:szCs w:val="32"/>
          <w:highlight w:val="none"/>
          <w:lang w:val="en-US" w:eastAsia="zh-CN"/>
        </w:rPr>
        <w:t>元。</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鞍钢股份</w:t>
      </w:r>
      <w:r>
        <w:rPr>
          <w:rFonts w:hint="eastAsia" w:ascii="仿宋_GB2312" w:hAnsi="仿宋_GB2312" w:eastAsia="仿宋_GB2312" w:cs="仿宋_GB2312"/>
          <w:color w:val="auto"/>
          <w:sz w:val="32"/>
          <w:szCs w:val="32"/>
        </w:rPr>
        <w:t>存入</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用于结算的资金存款最高每日余额不超过人民币</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公司为鞍钢股份提供的统一综合授信服务未超过协议约定限额</w:t>
      </w:r>
      <w:r>
        <w:rPr>
          <w:rFonts w:ascii="仿宋_GB2312" w:eastAsia="仿宋_GB2312" w:cs="Times New Roman"/>
          <w:color w:val="auto"/>
          <w:kern w:val="2"/>
          <w:sz w:val="32"/>
          <w:szCs w:val="32"/>
        </w:rPr>
        <w:t>人</w:t>
      </w:r>
      <w:r>
        <w:rPr>
          <w:rFonts w:ascii="仿宋_GB2312" w:eastAsia="仿宋_GB2312" w:cs="Times New Roman"/>
          <w:color w:val="auto"/>
          <w:kern w:val="2"/>
          <w:sz w:val="32"/>
          <w:szCs w:val="32"/>
          <w:highlight w:val="none"/>
        </w:rPr>
        <w:t>民币</w:t>
      </w:r>
      <w:r>
        <w:rPr>
          <w:rFonts w:hint="eastAsia" w:ascii="仿宋_GB2312" w:hAnsi="仿宋_GB2312" w:eastAsia="仿宋_GB2312" w:cs="仿宋_GB2312"/>
          <w:color w:val="auto"/>
          <w:sz w:val="32"/>
          <w:szCs w:val="32"/>
          <w:lang w:val="en-US" w:eastAsia="zh-CN"/>
        </w:rPr>
        <w:t>50亿元。业务品种包括存款、结算、贷款、票据贴现、票据承兑等，均在《金融服务协议》规定范围之内</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（2）公司已与钒钛股份签订2022-2024年《金融服务协议》，按照《金融服务协议》规定，公司可为钒钛股份提供存款服务、结算服务、统一综合授信服务及其他金融服务。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截至2023年末，钒钛股份及下属单位在公司存款余额为19.8亿</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lang w:val="en-US" w:eastAsia="zh-CN"/>
        </w:rPr>
        <w:t>在公司贷款（含贴现）余额为0亿元</w:t>
      </w:r>
      <w:r>
        <w:rPr>
          <w:rFonts w:hint="eastAsia" w:ascii="仿宋_GB2312" w:hAnsi="仿宋_GB2312" w:eastAsia="仿宋_GB2312" w:cs="仿宋_GB2312"/>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钒钛股份</w:t>
      </w:r>
      <w:r>
        <w:rPr>
          <w:rFonts w:hint="eastAsia" w:ascii="仿宋_GB2312" w:hAnsi="仿宋_GB2312" w:eastAsia="仿宋_GB2312" w:cs="仿宋_GB2312"/>
          <w:color w:val="auto"/>
          <w:sz w:val="32"/>
          <w:szCs w:val="32"/>
        </w:rPr>
        <w:t>存入</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的存款每日余额不超过人民币</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公司为钒钛股份提供的统一综合授信服务未超过协议约定限额</w:t>
      </w:r>
      <w:r>
        <w:rPr>
          <w:rFonts w:ascii="仿宋_GB2312" w:eastAsia="仿宋_GB2312" w:cs="Times New Roman"/>
          <w:color w:val="auto"/>
          <w:kern w:val="2"/>
          <w:sz w:val="32"/>
          <w:szCs w:val="32"/>
        </w:rPr>
        <w:t>人</w:t>
      </w:r>
      <w:r>
        <w:rPr>
          <w:rFonts w:ascii="仿宋_GB2312" w:eastAsia="仿宋_GB2312" w:cs="Times New Roman"/>
          <w:color w:val="auto"/>
          <w:kern w:val="2"/>
          <w:sz w:val="32"/>
          <w:szCs w:val="32"/>
          <w:highlight w:val="none"/>
        </w:rPr>
        <w:t>民币</w:t>
      </w:r>
      <w:r>
        <w:rPr>
          <w:rFonts w:hint="eastAsia" w:ascii="仿宋_GB2312" w:hAnsi="仿宋_GB2312" w:eastAsia="仿宋_GB2312" w:cs="仿宋_GB2312"/>
          <w:color w:val="auto"/>
          <w:sz w:val="32"/>
          <w:szCs w:val="32"/>
          <w:lang w:val="en-US" w:eastAsia="zh-CN"/>
        </w:rPr>
        <w:t>20亿元。业务品种包括存款、结算、贷款、票据贴现、票据承兑等，均在《金融服务协议》规定范围之内</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（3）公司已与本钢板材股份有限公司（以下简称</w:t>
      </w:r>
      <w:bookmarkStart w:id="67" w:name="_GoBack"/>
      <w:bookmarkEnd w:id="67"/>
      <w:r>
        <w:rPr>
          <w:rFonts w:hint="eastAsia" w:ascii="仿宋_GB2312" w:hAnsi="仿宋_GB2312" w:eastAsia="仿宋_GB2312" w:cs="仿宋_GB2312"/>
          <w:sz w:val="32"/>
          <w:szCs w:val="32"/>
          <w:lang w:val="en-US" w:eastAsia="zh-CN"/>
        </w:rPr>
        <w:t>本钢板材）签订2022-2024年《金融服务协议》，按照《金融服务协议》规定，公司可为本钢板材提供存款服务、结算服务、统一综合授信服务及其他金融服务。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截至2023年末，本钢板材及下属单位在公司存款余额为3.91亿</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lang w:val="en-US" w:eastAsia="zh-CN"/>
        </w:rPr>
        <w:t>在公司贷款（含贴现）余额为0.16亿元</w:t>
      </w:r>
      <w:r>
        <w:rPr>
          <w:rFonts w:hint="eastAsia" w:ascii="仿宋_GB2312" w:hAnsi="仿宋_GB2312" w:eastAsia="仿宋_GB2312" w:cs="仿宋_GB2312"/>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本钢板材</w:t>
      </w:r>
      <w:r>
        <w:rPr>
          <w:rFonts w:ascii="仿宋_GB2312" w:eastAsia="仿宋_GB2312" w:cs="Times New Roman"/>
          <w:color w:val="auto"/>
          <w:kern w:val="2"/>
          <w:sz w:val="32"/>
          <w:szCs w:val="32"/>
        </w:rPr>
        <w:t>存入</w:t>
      </w:r>
      <w:r>
        <w:rPr>
          <w:rFonts w:hint="eastAsia" w:ascii="仿宋_GB2312" w:eastAsia="仿宋_GB2312" w:cs="Times New Roman"/>
          <w:color w:val="auto"/>
          <w:kern w:val="2"/>
          <w:sz w:val="32"/>
          <w:szCs w:val="32"/>
          <w:lang w:val="en-US" w:eastAsia="zh-CN"/>
        </w:rPr>
        <w:t>公司</w:t>
      </w:r>
      <w:r>
        <w:rPr>
          <w:rFonts w:hint="eastAsia" w:ascii="仿宋_GB2312" w:eastAsia="仿宋_GB2312" w:cs="Times New Roman"/>
          <w:color w:val="auto"/>
          <w:kern w:val="2"/>
          <w:sz w:val="32"/>
          <w:szCs w:val="32"/>
        </w:rPr>
        <w:t>用于结算的资金存款</w:t>
      </w:r>
      <w:r>
        <w:rPr>
          <w:rFonts w:ascii="仿宋_GB2312" w:eastAsia="仿宋_GB2312" w:cs="Times New Roman"/>
          <w:color w:val="auto"/>
          <w:kern w:val="2"/>
          <w:sz w:val="32"/>
          <w:szCs w:val="32"/>
        </w:rPr>
        <w:t>最高每日余额不超过人</w:t>
      </w:r>
      <w:r>
        <w:rPr>
          <w:rFonts w:ascii="仿宋_GB2312" w:eastAsia="仿宋_GB2312" w:cs="Times New Roman"/>
          <w:color w:val="auto"/>
          <w:kern w:val="2"/>
          <w:sz w:val="32"/>
          <w:szCs w:val="32"/>
          <w:highlight w:val="none"/>
        </w:rPr>
        <w:t>民币45亿元</w:t>
      </w:r>
      <w:r>
        <w:rPr>
          <w:rFonts w:hint="eastAsia" w:ascii="仿宋_GB2312" w:eastAsia="仿宋_GB2312" w:cs="Times New Roman"/>
          <w:color w:val="auto"/>
          <w:kern w:val="2"/>
          <w:sz w:val="32"/>
          <w:szCs w:val="32"/>
          <w:highlight w:val="none"/>
          <w:lang w:eastAsia="zh-CN"/>
        </w:rPr>
        <w:t>；</w:t>
      </w:r>
      <w:r>
        <w:rPr>
          <w:rFonts w:hint="eastAsia" w:ascii="仿宋_GB2312" w:hAnsi="仿宋_GB2312" w:eastAsia="仿宋_GB2312" w:cs="仿宋_GB2312"/>
          <w:color w:val="auto"/>
          <w:sz w:val="32"/>
          <w:szCs w:val="32"/>
          <w:lang w:val="en-US" w:eastAsia="zh-CN"/>
        </w:rPr>
        <w:t>公司为本钢板材提供的统一综合授信服务未超过协议约定限额</w:t>
      </w:r>
      <w:r>
        <w:rPr>
          <w:rFonts w:ascii="仿宋_GB2312" w:eastAsia="仿宋_GB2312" w:cs="Times New Roman"/>
          <w:color w:val="auto"/>
          <w:kern w:val="2"/>
          <w:sz w:val="32"/>
          <w:szCs w:val="32"/>
        </w:rPr>
        <w:t>人</w:t>
      </w:r>
      <w:r>
        <w:rPr>
          <w:rFonts w:ascii="仿宋_GB2312" w:eastAsia="仿宋_GB2312" w:cs="Times New Roman"/>
          <w:color w:val="auto"/>
          <w:kern w:val="2"/>
          <w:sz w:val="32"/>
          <w:szCs w:val="32"/>
          <w:highlight w:val="none"/>
        </w:rPr>
        <w:t>民币</w:t>
      </w:r>
      <w:r>
        <w:rPr>
          <w:rFonts w:hint="eastAsia" w:ascii="仿宋_GB2312" w:hAnsi="仿宋_GB2312" w:eastAsia="仿宋_GB2312" w:cs="仿宋_GB2312"/>
          <w:color w:val="auto"/>
          <w:sz w:val="32"/>
          <w:szCs w:val="32"/>
          <w:lang w:val="en-US" w:eastAsia="zh-CN"/>
        </w:rPr>
        <w:t>50亿元。业务品种包括存款、结算、贷款、票据贴现、票据承兑等，均在《金融服务协议》规定范围之内</w:t>
      </w:r>
      <w:r>
        <w:rPr>
          <w:rFonts w:hint="eastAsia" w:ascii="仿宋_GB2312" w:hAnsi="仿宋_GB2312" w:eastAsia="仿宋_GB2312" w:cs="仿宋_GB2312"/>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《关于规范上市公司与企业集团财务公司业务往来的通知》要求，公司与</w:t>
      </w:r>
      <w:r>
        <w:rPr>
          <w:rFonts w:hint="eastAsia" w:ascii="仿宋_GB2312" w:hAnsi="仿宋_GB2312" w:eastAsia="仿宋_GB2312" w:cs="仿宋_GB2312"/>
          <w:b w:val="0"/>
          <w:bCs w:val="0"/>
          <w:sz w:val="32"/>
          <w:szCs w:val="32"/>
          <w:lang w:val="en-US" w:eastAsia="zh-CN"/>
        </w:rPr>
        <w:t>鞍钢股份</w:t>
      </w:r>
      <w:r>
        <w:rPr>
          <w:rFonts w:hint="eastAsia" w:ascii="仿宋_GB2312" w:hAnsi="仿宋_GB2312" w:eastAsia="仿宋_GB2312" w:cs="仿宋_GB2312"/>
          <w:sz w:val="32"/>
          <w:szCs w:val="32"/>
          <w:lang w:val="en-US" w:eastAsia="zh-CN"/>
        </w:rPr>
        <w:t>、钒钛股份、本钢板材</w:t>
      </w:r>
      <w:r>
        <w:rPr>
          <w:rFonts w:hint="eastAsia" w:ascii="仿宋_GB2312" w:hAnsi="仿宋_GB2312" w:eastAsia="仿宋_GB2312" w:cs="仿宋_GB2312"/>
          <w:b w:val="0"/>
          <w:bCs w:val="0"/>
          <w:sz w:val="32"/>
          <w:szCs w:val="32"/>
          <w:lang w:val="en-US" w:eastAsia="zh-CN"/>
        </w:rPr>
        <w:t>2023年度关联交易业务往来符合监管规定和协议约定。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spacing w:val="0"/>
          <w:w w:val="100"/>
          <w:position w:val="0"/>
          <w:sz w:val="32"/>
          <w:szCs w:val="32"/>
          <w:shd w:val="clear" w:color="auto" w:fill="auto"/>
          <w:lang w:val="en-US" w:eastAsia="zh-CN" w:bidi="en-US"/>
        </w:rPr>
      </w:pPr>
      <w:r>
        <w:rPr>
          <w:rFonts w:hint="eastAsia" w:ascii="楷体_GB2312" w:hAnsi="楷体_GB2312" w:eastAsia="楷体_GB2312" w:cs="楷体_GB2312"/>
          <w:b/>
          <w:bCs/>
          <w:color w:val="000000"/>
          <w:spacing w:val="0"/>
          <w:w w:val="100"/>
          <w:position w:val="0"/>
          <w:sz w:val="32"/>
          <w:szCs w:val="32"/>
          <w:shd w:val="clear" w:color="auto" w:fill="auto"/>
          <w:lang w:val="en-US" w:eastAsia="zh-CN" w:bidi="en-US"/>
        </w:rPr>
        <w:t>（四）非成员单位业务情况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b w:val="0"/>
          <w:bCs w:val="0"/>
          <w:sz w:val="30"/>
          <w:szCs w:val="30"/>
          <w:highlight w:val="none"/>
          <w:lang w:val="en-US" w:eastAsia="zh-CN"/>
        </w:rPr>
      </w:pPr>
      <w:r>
        <w:rPr>
          <w:rFonts w:hint="eastAsia" w:ascii="仿宋_GB2312" w:hAnsi="仿宋_GB2312" w:eastAsia="仿宋_GB2312" w:cs="仿宋_GB2312"/>
          <w:b w:val="0"/>
          <w:bCs w:val="0"/>
          <w:sz w:val="32"/>
          <w:szCs w:val="32"/>
          <w:highlight w:val="none"/>
          <w:lang w:val="en-US" w:eastAsia="zh-CN"/>
        </w:rPr>
        <w:t>公司非成员单位业务关联交易一般只涉及一些内部采购、系统运维、差旅报销等业务，发生金额少，占比小。2023年非成员单位业务关联交易情况如下表：</w:t>
      </w:r>
    </w:p>
    <w:p>
      <w:pPr>
        <w:pStyle w:val="2"/>
        <w:keepNext w:val="0"/>
        <w:keepLines w:val="0"/>
        <w:pageBreakBefore w:val="0"/>
        <w:widowControl w:val="0"/>
        <w:kinsoku/>
        <w:wordWrap/>
        <w:overflowPunct/>
        <w:topLinePunct w:val="0"/>
        <w:autoSpaceDE/>
        <w:autoSpaceDN/>
        <w:bidi w:val="0"/>
        <w:adjustRightInd/>
        <w:snapToGrid/>
        <w:spacing w:line="560" w:lineRule="exact"/>
        <w:ind w:firstLine="2100" w:firstLineChars="70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val="0"/>
          <w:bCs w:val="0"/>
          <w:sz w:val="30"/>
          <w:szCs w:val="30"/>
          <w:highlight w:val="none"/>
          <w:lang w:val="en-US" w:eastAsia="zh-CN"/>
        </w:rPr>
        <w:t>非成员单位业务关联交易情况表</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18"/>
          <w:szCs w:val="18"/>
          <w:highlight w:val="none"/>
          <w:lang w:val="en-US" w:eastAsia="zh-CN"/>
        </w:rPr>
        <w:t xml:space="preserve"> 单位：元，%</w:t>
      </w:r>
    </w:p>
    <w:tbl>
      <w:tblPr>
        <w:tblStyle w:val="10"/>
        <w:tblW w:w="8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35"/>
        <w:gridCol w:w="1343"/>
        <w:gridCol w:w="1725"/>
        <w:gridCol w:w="1634"/>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exact"/>
        </w:trPr>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关联方</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关联交易内容</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关联交易定价方式及决策程序</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本期金额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exac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uppressLineNumbers w:val="0"/>
              <w:spacing w:beforeAutospacing="0" w:afterAutospacing="0"/>
              <w:jc w:val="center"/>
              <w:rPr>
                <w:rFonts w:hint="eastAsia" w:ascii="仿宋_GB2312" w:hAnsi="仿宋_GB2312" w:eastAsia="仿宋_GB2312" w:cs="仿宋_GB2312"/>
                <w:i w:val="0"/>
                <w:iCs w:val="0"/>
                <w:color w:val="000000"/>
                <w:sz w:val="21"/>
                <w:szCs w:val="21"/>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uppressLineNumbers w:val="0"/>
              <w:spacing w:beforeAutospacing="0" w:afterAutospacing="0"/>
              <w:jc w:val="center"/>
              <w:rPr>
                <w:rFonts w:hint="eastAsia" w:ascii="仿宋_GB2312" w:hAnsi="仿宋_GB2312" w:eastAsia="仿宋_GB2312" w:cs="仿宋_GB2312"/>
                <w:i w:val="0"/>
                <w:iCs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uppressLineNumbers w:val="0"/>
              <w:spacing w:beforeAutospacing="0" w:afterAutospacing="0"/>
              <w:jc w:val="center"/>
              <w:rPr>
                <w:rFonts w:hint="eastAsia" w:ascii="仿宋_GB2312" w:hAnsi="仿宋_GB2312" w:eastAsia="仿宋_GB2312" w:cs="仿宋_GB2312"/>
                <w:i w:val="0"/>
                <w:iCs w:val="0"/>
                <w:color w:val="000000"/>
                <w:sz w:val="21"/>
                <w:szCs w:val="21"/>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金额</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占全部交易比例（%）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鞍钢集团自动化有限公司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信息系统费用等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3,945,895.33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鞍钢集团资本控股有限公司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租赁费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1,900,000.00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鞍钢实业集团有限公司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办公费等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306,139.72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攀钢集团钒钛资源股份有限公司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租赁费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1,582,970.40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鞍钢集团有限公司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内部机构培训费等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707,446.00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鞍钢现代城市服务（鞍山）有限公司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办公费等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1,076,922.50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鞍山鞍钢国际旅行社有限公司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商旅待结算款等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260,145.32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鞍山钢铁集团有限公司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运输费</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352,779.44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德邻工业品有限公司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办公费等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237,484.79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鞍钢房地产开发集团建筑设计院有限公司</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质保金等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333,732.00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其他单位</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办公费等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市场价格/授权程序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401,476.19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LineNumbers w:val="0"/>
              <w:spacing w:beforeAutospacing="0" w:afterAutospacing="0"/>
              <w:jc w:val="center"/>
              <w:rPr>
                <w:rFonts w:hint="eastAsia" w:ascii="仿宋_GB2312" w:hAnsi="仿宋_GB2312" w:eastAsia="仿宋_GB2312" w:cs="仿宋_GB2312"/>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LineNumbers w:val="0"/>
              <w:spacing w:beforeAutospacing="0" w:afterAutospacing="0"/>
              <w:jc w:val="center"/>
              <w:rPr>
                <w:rFonts w:hint="eastAsia" w:ascii="仿宋_GB2312" w:hAnsi="仿宋_GB2312" w:eastAsia="仿宋_GB2312" w:cs="仿宋_GB2312"/>
                <w:i w:val="0"/>
                <w:iCs w:val="0"/>
                <w:color w:val="000000"/>
                <w:sz w:val="21"/>
                <w:szCs w:val="21"/>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11,104,991.69</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100.00%</w:t>
            </w:r>
          </w:p>
        </w:tc>
      </w:tr>
    </w:tbl>
    <w:p>
      <w:pPr>
        <w:pStyle w:val="2"/>
        <w:keepNext w:val="0"/>
        <w:keepLines w:val="0"/>
        <w:pageBreakBefore w:val="0"/>
        <w:widowControl w:val="0"/>
        <w:kinsoku/>
        <w:wordWrap/>
        <w:overflowPunct/>
        <w:topLinePunct w:val="0"/>
        <w:autoSpaceDE/>
        <w:autoSpaceDN/>
        <w:bidi w:val="0"/>
        <w:adjustRightInd/>
        <w:snapToGrid/>
        <w:spacing w:before="157" w:beforeLines="50" w:line="560" w:lineRule="exact"/>
        <w:ind w:left="120" w:leftChars="50" w:firstLine="2100" w:firstLineChars="700"/>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b w:val="0"/>
          <w:bCs w:val="0"/>
          <w:sz w:val="30"/>
          <w:szCs w:val="30"/>
          <w:highlight w:val="none"/>
          <w:lang w:val="en-US" w:eastAsia="zh-CN"/>
        </w:rPr>
        <w:t>非成员单位业务关联交易余额表</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15"/>
          <w:szCs w:val="15"/>
          <w:highlight w:val="none"/>
          <w:lang w:val="en-US" w:eastAsia="zh-CN"/>
        </w:rPr>
        <w:t>单位：元</w:t>
      </w:r>
    </w:p>
    <w:tbl>
      <w:tblPr>
        <w:tblStyle w:val="10"/>
        <w:tblW w:w="8733" w:type="dxa"/>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3"/>
        <w:gridCol w:w="1500"/>
        <w:gridCol w:w="1080"/>
        <w:gridCol w:w="1400"/>
        <w:gridCol w:w="1536"/>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关联方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期末余额</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期初余额</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条款和条件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是否提供担保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其他应付款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鞍钢集团自动化有限公司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7,540.00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102,928.00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否</w:t>
            </w:r>
          </w:p>
        </w:tc>
      </w:tr>
    </w:tbl>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outlineLvl w:val="0"/>
        <w:rPr>
          <w:rFonts w:hint="eastAsia"/>
          <w:highlight w:val="none"/>
        </w:rPr>
      </w:pPr>
      <w:r>
        <w:rPr>
          <w:rFonts w:hint="eastAsia"/>
          <w:highlight w:val="none"/>
          <w:lang w:val="en-US" w:eastAsia="zh-CN"/>
        </w:rPr>
        <w:t>六</w:t>
      </w:r>
      <w:r>
        <w:rPr>
          <w:rFonts w:hint="eastAsia"/>
          <w:highlight w:val="none"/>
        </w:rPr>
        <w:t>、财务会计信息</w:t>
      </w:r>
      <w:bookmarkEnd w:id="63"/>
    </w:p>
    <w:p>
      <w:pPr>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highlight w:val="none"/>
        </w:rPr>
      </w:pPr>
      <w:bookmarkStart w:id="64" w:name="bookmark98"/>
      <w:bookmarkStart w:id="65" w:name="bookmark96"/>
      <w:bookmarkStart w:id="66" w:name="bookmark97"/>
      <w:r>
        <w:rPr>
          <w:rFonts w:hint="eastAsia" w:ascii="仿宋_GB2312" w:hAnsi="仿宋_GB2312" w:eastAsia="仿宋_GB2312" w:cs="仿宋_GB2312"/>
          <w:sz w:val="32"/>
          <w:szCs w:val="32"/>
          <w:highlight w:val="none"/>
          <w:lang w:val="en-US" w:eastAsia="zh-CN"/>
        </w:rPr>
        <w:t>附鞍钢集团财务有限责任公司2023年度审计报告。</w:t>
      </w:r>
      <w:bookmarkEnd w:id="64"/>
      <w:bookmarkEnd w:id="65"/>
      <w:bookmarkEnd w:id="66"/>
    </w:p>
    <w:sectPr>
      <w:headerReference r:id="rId5" w:type="default"/>
      <w:footerReference r:id="rId7" w:type="default"/>
      <w:headerReference r:id="rId6" w:type="even"/>
      <w:footerReference r:id="rId8" w:type="even"/>
      <w:footnotePr>
        <w:numFmt w:val="decimal"/>
      </w:footnotePr>
      <w:pgSz w:w="11900" w:h="16840"/>
      <w:pgMar w:top="2098" w:right="1474" w:bottom="1984" w:left="1587" w:header="641" w:footer="6"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-290195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85pt;height:144pt;width:144pt;mso-position-horizontal:center;mso-position-horizontal-relative:margin;mso-wrap-style:none;z-index:251659264;mso-width-relative:page;mso-height-relative:page;" filled="f" stroked="f" coordsize="21600,21600" o:gfxdata="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dgTg/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-290195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85pt;height:144pt;width:144pt;mso-position-horizontal:center;mso-position-horizontal-relative:margin;mso-wrap-style:none;z-index:251660288;mso-width-relative:page;mso-height-relative:page;" filled="f" stroked="f" coordsize="21600,21600" o:gfxdata="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3YE4P1gAAAAg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ZjQyMjdhNzMxZGQ4OTY3Zjk5NmIxOWMyN2RkY2JlYzEifQ=="/>
  </w:docVars>
  <w:rsids>
    <w:rsidRoot w:val="00172A27"/>
    <w:rsid w:val="03766107"/>
    <w:rsid w:val="039A7491"/>
    <w:rsid w:val="06E635A4"/>
    <w:rsid w:val="119500A0"/>
    <w:rsid w:val="1485199D"/>
    <w:rsid w:val="17AE23A5"/>
    <w:rsid w:val="1C0F7C60"/>
    <w:rsid w:val="1CBD289F"/>
    <w:rsid w:val="23B76D71"/>
    <w:rsid w:val="24383F19"/>
    <w:rsid w:val="26084E8D"/>
    <w:rsid w:val="26F11FAD"/>
    <w:rsid w:val="29F10C8B"/>
    <w:rsid w:val="2DB73324"/>
    <w:rsid w:val="31135818"/>
    <w:rsid w:val="366C5986"/>
    <w:rsid w:val="37CD1A92"/>
    <w:rsid w:val="44054362"/>
    <w:rsid w:val="453C3DB3"/>
    <w:rsid w:val="4599712A"/>
    <w:rsid w:val="47330814"/>
    <w:rsid w:val="4847426C"/>
    <w:rsid w:val="4F3561AB"/>
    <w:rsid w:val="523410AD"/>
    <w:rsid w:val="52E130A8"/>
    <w:rsid w:val="55061CE8"/>
    <w:rsid w:val="57227D03"/>
    <w:rsid w:val="572D5C52"/>
    <w:rsid w:val="59DE358E"/>
    <w:rsid w:val="61993E52"/>
    <w:rsid w:val="63097573"/>
    <w:rsid w:val="632F1185"/>
    <w:rsid w:val="675A7AA8"/>
    <w:rsid w:val="6807338A"/>
    <w:rsid w:val="695A7B98"/>
    <w:rsid w:val="697C36BE"/>
    <w:rsid w:val="6BB666BB"/>
    <w:rsid w:val="6F5E3EB6"/>
    <w:rsid w:val="720831F5"/>
    <w:rsid w:val="723B701D"/>
    <w:rsid w:val="739E015D"/>
    <w:rsid w:val="73A429ED"/>
    <w:rsid w:val="778D7AB3"/>
    <w:rsid w:val="7EC12A46"/>
    <w:rsid w:val="7F0B3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cs="Times New Roman"/>
      <w:b/>
      <w:sz w:val="24"/>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basedOn w:val="11"/>
    <w:qFormat/>
    <w:uiPriority w:val="0"/>
    <w:rPr>
      <w:i/>
    </w:rPr>
  </w:style>
  <w:style w:type="paragraph" w:customStyle="1" w:styleId="13">
    <w:name w:val="正文－华文中宋，小四"/>
    <w:basedOn w:val="1"/>
    <w:qFormat/>
    <w:uiPriority w:val="0"/>
    <w:pPr>
      <w:ind w:firstLine="236" w:firstLineChars="236"/>
    </w:pPr>
  </w:style>
  <w:style w:type="character" w:customStyle="1" w:styleId="14">
    <w:name w:val="Body text|1_"/>
    <w:basedOn w:val="11"/>
    <w:link w:val="15"/>
    <w:qFormat/>
    <w:uiPriority w:val="0"/>
    <w:rPr>
      <w:rFonts w:ascii="宋体" w:hAnsi="宋体" w:eastAsia="宋体" w:cs="宋体"/>
      <w:sz w:val="20"/>
      <w:szCs w:val="20"/>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ind w:firstLine="540"/>
    </w:pPr>
    <w:rPr>
      <w:rFonts w:ascii="宋体" w:hAnsi="宋体" w:eastAsia="宋体" w:cs="宋体"/>
      <w:sz w:val="20"/>
      <w:szCs w:val="20"/>
      <w:u w:val="none"/>
      <w:shd w:val="clear" w:color="auto" w:fill="auto"/>
      <w:lang w:val="zh-TW" w:eastAsia="zh-TW" w:bidi="zh-TW"/>
    </w:rPr>
  </w:style>
  <w:style w:type="character" w:customStyle="1" w:styleId="16">
    <w:name w:val="Body text|4_"/>
    <w:basedOn w:val="11"/>
    <w:link w:val="17"/>
    <w:qFormat/>
    <w:uiPriority w:val="0"/>
    <w:rPr>
      <w:sz w:val="11"/>
      <w:szCs w:val="11"/>
      <w:u w:val="none"/>
      <w:shd w:val="clear" w:color="auto" w:fill="auto"/>
    </w:rPr>
  </w:style>
  <w:style w:type="paragraph" w:customStyle="1" w:styleId="17">
    <w:name w:val="Body text|4"/>
    <w:basedOn w:val="1"/>
    <w:link w:val="16"/>
    <w:qFormat/>
    <w:uiPriority w:val="0"/>
    <w:pPr>
      <w:widowControl w:val="0"/>
      <w:shd w:val="clear" w:color="auto" w:fill="auto"/>
      <w:spacing w:after="4120" w:line="218" w:lineRule="auto"/>
      <w:ind w:firstLine="540"/>
    </w:pPr>
    <w:rPr>
      <w:sz w:val="11"/>
      <w:szCs w:val="11"/>
      <w:u w:val="none"/>
      <w:shd w:val="clear" w:color="auto" w:fill="auto"/>
    </w:rPr>
  </w:style>
  <w:style w:type="character" w:customStyle="1" w:styleId="18">
    <w:name w:val="Heading #1|1_"/>
    <w:basedOn w:val="11"/>
    <w:link w:val="19"/>
    <w:qFormat/>
    <w:uiPriority w:val="0"/>
    <w:rPr>
      <w:rFonts w:ascii="宋体" w:hAnsi="宋体" w:eastAsia="宋体" w:cs="宋体"/>
      <w:sz w:val="54"/>
      <w:szCs w:val="54"/>
      <w:u w:val="none"/>
      <w:shd w:val="clear" w:color="auto" w:fill="auto"/>
      <w:lang w:val="zh-TW" w:eastAsia="zh-TW" w:bidi="zh-TW"/>
    </w:rPr>
  </w:style>
  <w:style w:type="paragraph" w:customStyle="1" w:styleId="19">
    <w:name w:val="Heading #1|1"/>
    <w:basedOn w:val="1"/>
    <w:link w:val="18"/>
    <w:qFormat/>
    <w:uiPriority w:val="0"/>
    <w:pPr>
      <w:widowControl w:val="0"/>
      <w:shd w:val="clear" w:color="auto" w:fill="auto"/>
      <w:spacing w:after="2620"/>
      <w:jc w:val="center"/>
      <w:outlineLvl w:val="0"/>
    </w:pPr>
    <w:rPr>
      <w:rFonts w:ascii="宋体" w:hAnsi="宋体" w:eastAsia="宋体" w:cs="宋体"/>
      <w:sz w:val="54"/>
      <w:szCs w:val="54"/>
      <w:u w:val="none"/>
      <w:shd w:val="clear" w:color="auto" w:fill="auto"/>
      <w:lang w:val="zh-TW" w:eastAsia="zh-TW" w:bidi="zh-TW"/>
    </w:rPr>
  </w:style>
  <w:style w:type="character" w:customStyle="1" w:styleId="20">
    <w:name w:val="Heading #2|1_"/>
    <w:basedOn w:val="11"/>
    <w:link w:val="21"/>
    <w:qFormat/>
    <w:uiPriority w:val="0"/>
    <w:rPr>
      <w:rFonts w:ascii="宋体" w:hAnsi="宋体" w:eastAsia="宋体" w:cs="宋体"/>
      <w:sz w:val="36"/>
      <w:szCs w:val="36"/>
      <w:u w:val="none"/>
      <w:shd w:val="clear" w:color="auto" w:fill="auto"/>
    </w:rPr>
  </w:style>
  <w:style w:type="paragraph" w:customStyle="1" w:styleId="21">
    <w:name w:val="Heading #2|1"/>
    <w:basedOn w:val="1"/>
    <w:link w:val="20"/>
    <w:qFormat/>
    <w:uiPriority w:val="0"/>
    <w:pPr>
      <w:widowControl w:val="0"/>
      <w:shd w:val="clear" w:color="auto" w:fill="auto"/>
      <w:jc w:val="center"/>
      <w:outlineLvl w:val="1"/>
    </w:pPr>
    <w:rPr>
      <w:rFonts w:ascii="宋体" w:hAnsi="宋体" w:eastAsia="宋体" w:cs="宋体"/>
      <w:sz w:val="36"/>
      <w:szCs w:val="36"/>
      <w:u w:val="none"/>
      <w:shd w:val="clear" w:color="auto" w:fill="auto"/>
    </w:rPr>
  </w:style>
  <w:style w:type="character" w:customStyle="1" w:styleId="22">
    <w:name w:val="Heading #3|1_"/>
    <w:basedOn w:val="11"/>
    <w:link w:val="23"/>
    <w:qFormat/>
    <w:uiPriority w:val="0"/>
    <w:rPr>
      <w:rFonts w:ascii="宋体" w:hAnsi="宋体" w:eastAsia="宋体" w:cs="宋体"/>
      <w:b/>
      <w:bCs/>
      <w:u w:val="none"/>
      <w:shd w:val="clear" w:color="auto" w:fill="auto"/>
      <w:lang w:val="zh-TW" w:eastAsia="zh-TW" w:bidi="zh-TW"/>
    </w:rPr>
  </w:style>
  <w:style w:type="paragraph" w:customStyle="1" w:styleId="23">
    <w:name w:val="Heading #3|1"/>
    <w:basedOn w:val="1"/>
    <w:link w:val="22"/>
    <w:qFormat/>
    <w:uiPriority w:val="0"/>
    <w:pPr>
      <w:widowControl w:val="0"/>
      <w:shd w:val="clear" w:color="auto" w:fill="auto"/>
      <w:spacing w:after="100" w:line="324" w:lineRule="auto"/>
      <w:ind w:left="1200"/>
      <w:outlineLvl w:val="2"/>
    </w:pPr>
    <w:rPr>
      <w:rFonts w:ascii="宋体" w:hAnsi="宋体" w:eastAsia="宋体" w:cs="宋体"/>
      <w:b/>
      <w:bCs/>
      <w:u w:val="none"/>
      <w:shd w:val="clear" w:color="auto" w:fill="auto"/>
      <w:lang w:val="zh-TW" w:eastAsia="zh-TW" w:bidi="zh-TW"/>
    </w:rPr>
  </w:style>
  <w:style w:type="character" w:customStyle="1" w:styleId="24">
    <w:name w:val="Body text|2_"/>
    <w:basedOn w:val="11"/>
    <w:link w:val="25"/>
    <w:qFormat/>
    <w:uiPriority w:val="0"/>
    <w:rPr>
      <w:rFonts w:ascii="宋体" w:hAnsi="宋体" w:eastAsia="宋体" w:cs="宋体"/>
      <w:u w:val="none"/>
      <w:shd w:val="clear" w:color="auto" w:fill="auto"/>
      <w:lang w:val="zh-TW" w:eastAsia="zh-TW" w:bidi="zh-TW"/>
    </w:rPr>
  </w:style>
  <w:style w:type="paragraph" w:customStyle="1" w:styleId="25">
    <w:name w:val="Body text|2"/>
    <w:basedOn w:val="1"/>
    <w:link w:val="24"/>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 w:type="character" w:customStyle="1" w:styleId="26">
    <w:name w:val="Body text|6_"/>
    <w:basedOn w:val="11"/>
    <w:link w:val="27"/>
    <w:qFormat/>
    <w:uiPriority w:val="0"/>
    <w:rPr>
      <w:rFonts w:ascii="宋体" w:hAnsi="宋体" w:eastAsia="宋体" w:cs="宋体"/>
      <w:sz w:val="28"/>
      <w:szCs w:val="28"/>
      <w:u w:val="none"/>
      <w:shd w:val="clear" w:color="auto" w:fill="auto"/>
      <w:lang w:val="zh-TW" w:eastAsia="zh-TW" w:bidi="zh-TW"/>
    </w:rPr>
  </w:style>
  <w:style w:type="paragraph" w:customStyle="1" w:styleId="27">
    <w:name w:val="Body text|6"/>
    <w:basedOn w:val="1"/>
    <w:link w:val="26"/>
    <w:qFormat/>
    <w:uiPriority w:val="0"/>
    <w:pPr>
      <w:widowControl w:val="0"/>
      <w:shd w:val="clear" w:color="auto" w:fill="auto"/>
      <w:spacing w:line="545" w:lineRule="exact"/>
      <w:ind w:firstLine="920"/>
    </w:pPr>
    <w:rPr>
      <w:rFonts w:ascii="宋体" w:hAnsi="宋体" w:eastAsia="宋体" w:cs="宋体"/>
      <w:sz w:val="28"/>
      <w:szCs w:val="28"/>
      <w:u w:val="none"/>
      <w:shd w:val="clear" w:color="auto" w:fill="auto"/>
      <w:lang w:val="zh-TW" w:eastAsia="zh-TW" w:bidi="zh-TW"/>
    </w:rPr>
  </w:style>
  <w:style w:type="character" w:customStyle="1" w:styleId="28">
    <w:name w:val="Other|1_"/>
    <w:basedOn w:val="11"/>
    <w:link w:val="29"/>
    <w:qFormat/>
    <w:uiPriority w:val="0"/>
    <w:rPr>
      <w:rFonts w:ascii="宋体" w:hAnsi="宋体" w:eastAsia="宋体" w:cs="宋体"/>
      <w:u w:val="none"/>
      <w:shd w:val="clear" w:color="auto" w:fill="auto"/>
    </w:rPr>
  </w:style>
  <w:style w:type="paragraph" w:customStyle="1" w:styleId="29">
    <w:name w:val="Other|1"/>
    <w:basedOn w:val="1"/>
    <w:link w:val="28"/>
    <w:qFormat/>
    <w:uiPriority w:val="0"/>
    <w:pPr>
      <w:widowControl w:val="0"/>
      <w:shd w:val="clear" w:color="auto" w:fill="auto"/>
      <w:jc w:val="center"/>
    </w:pPr>
    <w:rPr>
      <w:rFonts w:ascii="宋体" w:hAnsi="宋体" w:eastAsia="宋体" w:cs="宋体"/>
      <w:u w:val="none"/>
      <w:shd w:val="clear" w:color="auto" w:fill="auto"/>
    </w:rPr>
  </w:style>
  <w:style w:type="character" w:customStyle="1" w:styleId="30">
    <w:name w:val="Body text|3_"/>
    <w:basedOn w:val="11"/>
    <w:link w:val="31"/>
    <w:qFormat/>
    <w:uiPriority w:val="0"/>
    <w:rPr>
      <w:rFonts w:ascii="宋体" w:hAnsi="宋体" w:eastAsia="宋体" w:cs="宋体"/>
      <w:sz w:val="14"/>
      <w:szCs w:val="14"/>
      <w:u w:val="none"/>
      <w:shd w:val="clear" w:color="auto" w:fill="auto"/>
      <w:lang w:val="zh-TW" w:eastAsia="zh-TW" w:bidi="zh-TW"/>
    </w:rPr>
  </w:style>
  <w:style w:type="paragraph" w:customStyle="1" w:styleId="31">
    <w:name w:val="Body text|3"/>
    <w:basedOn w:val="1"/>
    <w:link w:val="30"/>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32">
    <w:name w:val="Picture caption|1_"/>
    <w:basedOn w:val="11"/>
    <w:link w:val="33"/>
    <w:qFormat/>
    <w:uiPriority w:val="0"/>
    <w:rPr>
      <w:rFonts w:ascii="宋体" w:hAnsi="宋体" w:eastAsia="宋体" w:cs="宋体"/>
      <w:sz w:val="14"/>
      <w:szCs w:val="14"/>
      <w:u w:val="none"/>
      <w:shd w:val="clear" w:color="auto" w:fill="auto"/>
      <w:lang w:val="zh-TW" w:eastAsia="zh-TW" w:bidi="zh-TW"/>
    </w:rPr>
  </w:style>
  <w:style w:type="paragraph" w:customStyle="1" w:styleId="33">
    <w:name w:val="Picture caption|1"/>
    <w:basedOn w:val="1"/>
    <w:link w:val="32"/>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34">
    <w:name w:val="Body text|5_"/>
    <w:basedOn w:val="11"/>
    <w:link w:val="35"/>
    <w:qFormat/>
    <w:uiPriority w:val="0"/>
    <w:rPr>
      <w:sz w:val="22"/>
      <w:szCs w:val="22"/>
      <w:u w:val="none"/>
      <w:shd w:val="clear" w:color="auto" w:fill="auto"/>
      <w:lang w:val="zh-TW" w:eastAsia="zh-TW" w:bidi="zh-TW"/>
    </w:rPr>
  </w:style>
  <w:style w:type="paragraph" w:customStyle="1" w:styleId="35">
    <w:name w:val="Body text|5"/>
    <w:basedOn w:val="1"/>
    <w:link w:val="34"/>
    <w:qFormat/>
    <w:uiPriority w:val="0"/>
    <w:pPr>
      <w:widowControl w:val="0"/>
      <w:shd w:val="clear" w:color="auto" w:fill="auto"/>
      <w:spacing w:after="160" w:line="538" w:lineRule="exact"/>
      <w:ind w:right="160"/>
      <w:jc w:val="right"/>
    </w:pPr>
    <w:rPr>
      <w:sz w:val="22"/>
      <w:szCs w:val="22"/>
      <w:u w:val="none"/>
      <w:shd w:val="clear" w:color="auto" w:fill="auto"/>
      <w:lang w:val="zh-TW" w:eastAsia="zh-TW" w:bidi="zh-TW"/>
    </w:rPr>
  </w:style>
  <w:style w:type="character" w:customStyle="1" w:styleId="36">
    <w:name w:val="Header or footer|2_"/>
    <w:basedOn w:val="11"/>
    <w:link w:val="37"/>
    <w:qFormat/>
    <w:uiPriority w:val="0"/>
    <w:rPr>
      <w:sz w:val="20"/>
      <w:szCs w:val="20"/>
      <w:u w:val="none"/>
      <w:shd w:val="clear" w:color="auto" w:fill="auto"/>
      <w:lang w:val="zh-TW" w:eastAsia="zh-TW" w:bidi="zh-TW"/>
    </w:rPr>
  </w:style>
  <w:style w:type="paragraph" w:customStyle="1" w:styleId="37">
    <w:name w:val="Header or footer|2"/>
    <w:basedOn w:val="1"/>
    <w:link w:val="36"/>
    <w:qFormat/>
    <w:uiPriority w:val="0"/>
    <w:pPr>
      <w:widowControl w:val="0"/>
      <w:shd w:val="clear" w:color="auto" w:fill="auto"/>
    </w:pPr>
    <w:rPr>
      <w:sz w:val="20"/>
      <w:szCs w:val="20"/>
      <w:u w:val="none"/>
      <w:shd w:val="clear" w:color="auto" w:fill="auto"/>
      <w:lang w:val="zh-TW" w:eastAsia="zh-TW" w:bidi="zh-TW"/>
    </w:rPr>
  </w:style>
  <w:style w:type="character" w:customStyle="1" w:styleId="38">
    <w:name w:val="Heading #4|1_"/>
    <w:basedOn w:val="11"/>
    <w:link w:val="39"/>
    <w:qFormat/>
    <w:uiPriority w:val="0"/>
    <w:rPr>
      <w:rFonts w:ascii="宋体" w:hAnsi="宋体" w:eastAsia="宋体" w:cs="宋体"/>
      <w:b/>
      <w:bCs/>
      <w:sz w:val="28"/>
      <w:szCs w:val="28"/>
      <w:u w:val="single"/>
      <w:shd w:val="clear" w:color="auto" w:fill="auto"/>
      <w:lang w:val="zh-TW" w:eastAsia="zh-TW" w:bidi="zh-TW"/>
    </w:rPr>
  </w:style>
  <w:style w:type="paragraph" w:customStyle="1" w:styleId="39">
    <w:name w:val="Heading #4|1"/>
    <w:basedOn w:val="1"/>
    <w:link w:val="38"/>
    <w:qFormat/>
    <w:uiPriority w:val="0"/>
    <w:pPr>
      <w:widowControl w:val="0"/>
      <w:shd w:val="clear" w:color="auto" w:fill="auto"/>
      <w:spacing w:after="480" w:line="300" w:lineRule="exact"/>
      <w:outlineLvl w:val="3"/>
    </w:pPr>
    <w:rPr>
      <w:rFonts w:ascii="宋体" w:hAnsi="宋体" w:eastAsia="宋体" w:cs="宋体"/>
      <w:b/>
      <w:bCs/>
      <w:sz w:val="28"/>
      <w:szCs w:val="28"/>
      <w:u w:val="single"/>
      <w:shd w:val="clear" w:color="auto" w:fill="auto"/>
      <w:lang w:val="zh-TW" w:eastAsia="zh-TW" w:bidi="zh-TW"/>
    </w:rPr>
  </w:style>
  <w:style w:type="character" w:customStyle="1" w:styleId="40">
    <w:name w:val="Table caption|1_"/>
    <w:basedOn w:val="11"/>
    <w:link w:val="41"/>
    <w:qFormat/>
    <w:uiPriority w:val="0"/>
    <w:rPr>
      <w:rFonts w:ascii="宋体" w:hAnsi="宋体" w:eastAsia="宋体" w:cs="宋体"/>
      <w:sz w:val="14"/>
      <w:szCs w:val="14"/>
      <w:u w:val="none"/>
      <w:shd w:val="clear" w:color="auto" w:fill="auto"/>
      <w:lang w:val="zh-TW" w:eastAsia="zh-TW" w:bidi="zh-TW"/>
    </w:rPr>
  </w:style>
  <w:style w:type="paragraph" w:customStyle="1" w:styleId="41">
    <w:name w:val="Table caption|1"/>
    <w:basedOn w:val="1"/>
    <w:link w:val="40"/>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42">
    <w:name w:val="Header or footer|1_"/>
    <w:basedOn w:val="11"/>
    <w:link w:val="43"/>
    <w:qFormat/>
    <w:uiPriority w:val="0"/>
    <w:rPr>
      <w:rFonts w:ascii="宋体" w:hAnsi="宋体" w:eastAsia="宋体" w:cs="宋体"/>
      <w:b/>
      <w:bCs/>
      <w:sz w:val="17"/>
      <w:szCs w:val="17"/>
      <w:u w:val="none"/>
      <w:shd w:val="clear" w:color="auto" w:fill="auto"/>
      <w:lang w:val="zh-TW" w:eastAsia="zh-TW" w:bidi="zh-TW"/>
    </w:rPr>
  </w:style>
  <w:style w:type="paragraph" w:customStyle="1" w:styleId="43">
    <w:name w:val="Header or footer|1"/>
    <w:basedOn w:val="1"/>
    <w:link w:val="42"/>
    <w:qFormat/>
    <w:uiPriority w:val="0"/>
    <w:pPr>
      <w:widowControl w:val="0"/>
      <w:shd w:val="clear" w:color="auto" w:fill="auto"/>
    </w:pPr>
    <w:rPr>
      <w:rFonts w:ascii="宋体" w:hAnsi="宋体" w:eastAsia="宋体" w:cs="宋体"/>
      <w:b/>
      <w:bCs/>
      <w:sz w:val="17"/>
      <w:szCs w:val="17"/>
      <w:u w:val="none"/>
      <w:shd w:val="clear" w:color="auto" w:fill="auto"/>
      <w:lang w:val="zh-TW" w:eastAsia="zh-TW" w:bidi="zh-TW"/>
    </w:rPr>
  </w:style>
  <w:style w:type="character" w:customStyle="1" w:styleId="44">
    <w:name w:val="Table of contents|1_"/>
    <w:basedOn w:val="11"/>
    <w:link w:val="45"/>
    <w:qFormat/>
    <w:uiPriority w:val="0"/>
    <w:rPr>
      <w:rFonts w:ascii="宋体" w:hAnsi="宋体" w:eastAsia="宋体" w:cs="宋体"/>
      <w:sz w:val="22"/>
      <w:szCs w:val="22"/>
      <w:u w:val="none"/>
      <w:shd w:val="clear" w:color="auto" w:fill="auto"/>
      <w:lang w:val="zh-TW" w:eastAsia="zh-TW" w:bidi="zh-TW"/>
    </w:rPr>
  </w:style>
  <w:style w:type="paragraph" w:customStyle="1" w:styleId="45">
    <w:name w:val="Table of contents|1"/>
    <w:basedOn w:val="1"/>
    <w:link w:val="44"/>
    <w:qFormat/>
    <w:uiPriority w:val="0"/>
    <w:pPr>
      <w:widowControl w:val="0"/>
      <w:shd w:val="clear" w:color="auto" w:fill="auto"/>
      <w:spacing w:after="100" w:line="317" w:lineRule="exact"/>
      <w:ind w:firstLine="210"/>
    </w:pPr>
    <w:rPr>
      <w:rFonts w:ascii="宋体" w:hAnsi="宋体" w:eastAsia="宋体" w:cs="宋体"/>
      <w:sz w:val="22"/>
      <w:szCs w:val="22"/>
      <w:u w:val="none"/>
      <w:shd w:val="clear" w:color="auto" w:fill="auto"/>
      <w:lang w:val="zh-TW" w:eastAsia="zh-TW" w:bidi="zh-TW"/>
    </w:rPr>
  </w:style>
  <w:style w:type="character" w:customStyle="1" w:styleId="46">
    <w:name w:val="Other|2_"/>
    <w:basedOn w:val="11"/>
    <w:link w:val="47"/>
    <w:qFormat/>
    <w:uiPriority w:val="0"/>
    <w:rPr>
      <w:rFonts w:ascii="宋体" w:hAnsi="宋体" w:eastAsia="宋体" w:cs="宋体"/>
      <w:sz w:val="20"/>
      <w:szCs w:val="20"/>
      <w:u w:val="none"/>
      <w:shd w:val="clear" w:color="auto" w:fill="auto"/>
    </w:rPr>
  </w:style>
  <w:style w:type="paragraph" w:customStyle="1" w:styleId="47">
    <w:name w:val="Other|2"/>
    <w:basedOn w:val="1"/>
    <w:link w:val="46"/>
    <w:qFormat/>
    <w:uiPriority w:val="0"/>
    <w:pPr>
      <w:widowControl w:val="0"/>
      <w:shd w:val="clear" w:color="auto" w:fill="auto"/>
      <w:spacing w:before="200"/>
      <w:jc w:val="center"/>
    </w:pPr>
    <w:rPr>
      <w:rFonts w:ascii="宋体" w:hAnsi="宋体" w:eastAsia="宋体" w:cs="宋体"/>
      <w:sz w:val="20"/>
      <w:szCs w:val="20"/>
      <w:u w:val="none"/>
      <w:shd w:val="clear" w:color="auto" w:fill="auto"/>
    </w:rPr>
  </w:style>
  <w:style w:type="character" w:customStyle="1" w:styleId="48">
    <w:name w:val="Heading #5|1_"/>
    <w:basedOn w:val="11"/>
    <w:link w:val="49"/>
    <w:qFormat/>
    <w:uiPriority w:val="0"/>
    <w:rPr>
      <w:rFonts w:ascii="宋体" w:hAnsi="宋体" w:eastAsia="宋体" w:cs="宋体"/>
      <w:sz w:val="28"/>
      <w:szCs w:val="28"/>
      <w:u w:val="none"/>
      <w:shd w:val="clear" w:color="auto" w:fill="auto"/>
      <w:lang w:val="zh-TW" w:eastAsia="zh-TW" w:bidi="zh-TW"/>
    </w:rPr>
  </w:style>
  <w:style w:type="paragraph" w:customStyle="1" w:styleId="49">
    <w:name w:val="Heading #5|1"/>
    <w:basedOn w:val="1"/>
    <w:link w:val="48"/>
    <w:qFormat/>
    <w:uiPriority w:val="0"/>
    <w:pPr>
      <w:widowControl w:val="0"/>
      <w:shd w:val="clear" w:color="auto" w:fill="auto"/>
      <w:outlineLvl w:val="4"/>
    </w:pPr>
    <w:rPr>
      <w:rFonts w:ascii="宋体" w:hAnsi="宋体" w:eastAsia="宋体" w:cs="宋体"/>
      <w:sz w:val="28"/>
      <w:szCs w:val="28"/>
      <w:u w:val="none"/>
      <w:shd w:val="clear" w:color="auto" w:fill="auto"/>
      <w:lang w:val="zh-TW" w:eastAsia="zh-TW" w:bidi="zh-TW"/>
    </w:rPr>
  </w:style>
  <w:style w:type="character" w:customStyle="1" w:styleId="50">
    <w:name w:val="Picture caption|2_"/>
    <w:basedOn w:val="11"/>
    <w:link w:val="51"/>
    <w:qFormat/>
    <w:uiPriority w:val="0"/>
    <w:rPr>
      <w:rFonts w:ascii="宋体" w:hAnsi="宋体" w:eastAsia="宋体" w:cs="宋体"/>
      <w:sz w:val="15"/>
      <w:szCs w:val="15"/>
      <w:u w:val="none"/>
      <w:shd w:val="clear" w:color="auto" w:fill="auto"/>
    </w:rPr>
  </w:style>
  <w:style w:type="paragraph" w:customStyle="1" w:styleId="51">
    <w:name w:val="Picture caption|2"/>
    <w:basedOn w:val="1"/>
    <w:link w:val="50"/>
    <w:qFormat/>
    <w:uiPriority w:val="0"/>
    <w:pPr>
      <w:widowControl w:val="0"/>
      <w:shd w:val="clear" w:color="auto" w:fill="auto"/>
    </w:pPr>
    <w:rPr>
      <w:rFonts w:ascii="宋体" w:hAnsi="宋体" w:eastAsia="宋体" w:cs="宋体"/>
      <w:sz w:val="15"/>
      <w:szCs w:val="15"/>
      <w:u w:val="none"/>
      <w:shd w:val="clear" w:color="auto" w:fill="auto"/>
    </w:rPr>
  </w:style>
  <w:style w:type="character" w:customStyle="1" w:styleId="52">
    <w:name w:val="Heading #5|2_"/>
    <w:basedOn w:val="11"/>
    <w:link w:val="53"/>
    <w:qFormat/>
    <w:uiPriority w:val="0"/>
    <w:rPr>
      <w:rFonts w:ascii="宋体" w:hAnsi="宋体" w:eastAsia="宋体" w:cs="宋体"/>
      <w:u w:val="none"/>
      <w:shd w:val="clear" w:color="auto" w:fill="auto"/>
    </w:rPr>
  </w:style>
  <w:style w:type="paragraph" w:customStyle="1" w:styleId="53">
    <w:name w:val="Heading #5|2"/>
    <w:basedOn w:val="1"/>
    <w:link w:val="52"/>
    <w:qFormat/>
    <w:uiPriority w:val="0"/>
    <w:pPr>
      <w:widowControl w:val="0"/>
      <w:shd w:val="clear" w:color="auto" w:fill="auto"/>
      <w:spacing w:after="60"/>
      <w:ind w:right="280"/>
      <w:jc w:val="right"/>
      <w:outlineLvl w:val="4"/>
    </w:pPr>
    <w:rPr>
      <w:rFonts w:ascii="宋体" w:hAnsi="宋体" w:eastAsia="宋体" w:cs="宋体"/>
      <w:u w:val="none"/>
      <w:shd w:val="clear" w:color="auto" w:fill="auto"/>
    </w:rPr>
  </w:style>
  <w:style w:type="paragraph" w:styleId="54">
    <w:name w:val="List Paragraph"/>
    <w:basedOn w:val="1"/>
    <w:qFormat/>
    <w:uiPriority w:val="0"/>
    <w:pPr>
      <w:ind w:firstLine="420" w:firstLineChars="200"/>
    </w:pPr>
  </w:style>
  <w:style w:type="paragraph" w:customStyle="1" w:styleId="5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7119</Words>
  <Characters>7569</Characters>
  <TotalTime>1</TotalTime>
  <ScaleCrop>false</ScaleCrop>
  <LinksUpToDate>false</LinksUpToDate>
  <CharactersWithSpaces>7588</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2023-06-19T02:11:00Z</dcterms:created>
  <dc:creator>jlcwchz</dc:creator>
  <cp:lastModifiedBy>张骞</cp:lastModifiedBy>
  <dcterms:modified xsi:type="dcterms:W3CDTF">2024-04-30T00:42:58Z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581F462951BC4EDB8D4EF16523D6A745_13</vt:lpwstr>
  </property>
</Properties>
</file>